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1ED4CFAA" w:rsidR="001C7AC2" w:rsidRPr="00440552" w:rsidRDefault="001C7AC2" w:rsidP="009E08A6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22,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1BA7EF44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</w:t>
      </w:r>
      <w:r w:rsidR="00663B8D">
        <w:rPr>
          <w:rFonts w:ascii="Palatino Linotype" w:hAnsi="Palatino Linotype"/>
          <w:sz w:val="20"/>
          <w:szCs w:val="20"/>
        </w:rPr>
        <w:t>, following allocution,</w:t>
      </w:r>
      <w:r w:rsidRPr="00FC46AD">
        <w:rPr>
          <w:rFonts w:ascii="Palatino Linotype" w:hAnsi="Palatino Linotype"/>
          <w:sz w:val="20"/>
          <w:szCs w:val="20"/>
        </w:rPr>
        <w:t xml:space="preserve">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lastRenderedPageBreak/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71E4778" w14:textId="77777777" w:rsidR="00C909D5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  <w:r w:rsidR="003E5CBB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</w:t>
      </w:r>
      <w:proofErr w:type="gramStart"/>
      <w:r w:rsidRPr="005A615C">
        <w:rPr>
          <w:rFonts w:ascii="Palatino Linotype" w:hAnsi="Palatino Linotype"/>
          <w:sz w:val="20"/>
          <w:szCs w:val="20"/>
        </w:rPr>
        <w:t xml:space="preserve">OVI Docket. The Defendant has reviewed and understands </w:t>
      </w:r>
      <w:r w:rsidRPr="005A615C">
        <w:rPr>
          <w:rFonts w:ascii="Palatino Linotype" w:hAnsi="Palatino Linotype"/>
          <w:sz w:val="20"/>
          <w:szCs w:val="20"/>
        </w:rPr>
        <w:lastRenderedPageBreak/>
        <w:t xml:space="preserve">the requirements of the </w:t>
      </w:r>
      <w:proofErr w:type="gramStart"/>
      <w:r w:rsidRPr="005A615C">
        <w:rPr>
          <w:rFonts w:ascii="Palatino Linotype" w:hAnsi="Palatino Linotype"/>
          <w:sz w:val="20"/>
          <w:szCs w:val="20"/>
        </w:rPr>
        <w:t xml:space="preserve">OVI Docket and agrees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 xml:space="preserve"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22,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proofErr w:type="gramStart"/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</w:t>
      </w:r>
      <w:r w:rsidRPr="00FC46AD">
        <w:rPr>
          <w:rFonts w:ascii="Palatino Linotype" w:hAnsi="Palatino Linotype"/>
          <w:sz w:val="20"/>
          <w:szCs w:val="20"/>
        </w:rPr>
        <w:lastRenderedPageBreak/>
        <w:t xml:space="preserve">of all completed hours to the Office of Community Control on or before </w:t>
      </w:r>
      <w:proofErr w:type="gramStart"/>
      <w:r w:rsidR="003D2059" w:rsidRPr="00FC46AD">
        <w:rPr>
          <w:rFonts w:ascii="Palatino Linotype" w:hAnsi="Palatino Linotype"/>
          <w:sz w:val="20"/>
          <w:szCs w:val="20"/>
        </w:rPr>
        <w:t xml:space="preserve">July 21,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proofErr w:type="gramStart"/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22,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</w:t>
      </w:r>
      <w:proofErr w:type="gramEnd"/>
      <w:r w:rsidR="00AF5259" w:rsidRPr="00FC46AD">
        <w:rPr>
          <w:rFonts w:ascii="Palatino Linotype" w:hAnsi="Palatino Linotype"/>
          <w:sz w:val="20"/>
          <w:szCs w:val="20"/>
        </w:rPr>
        <w:t xml:space="preserve">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 xml:space="preserve"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</w:t>
      </w:r>
      <w:proofErr w:type="gramStart"/>
      <w:r w:rsidR="007D6901" w:rsidRPr="00CE3EF6">
        <w:rPr>
          <w:rFonts w:ascii="Palatino Linotype" w:hAnsi="Palatino Linotype"/>
          <w:bCs/>
          <w:sz w:val="20"/>
          <w:szCs w:val="20"/>
        </w:rPr>
        <w:t xml:space="preserve">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 xml:space="preserve"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proofErr w:type="gramStart"/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</w:t>
      </w:r>
      <w:proofErr w:type="gramStart"/>
      <w:r w:rsidR="00A53114" w:rsidRPr="00A53114">
        <w:rPr>
          <w:rFonts w:ascii="Palatino Linotype" w:hAnsi="Palatino Linotype"/>
          <w:sz w:val="20"/>
          <w:szCs w:val="20"/>
        </w:rPr>
        <w:t>as a result of</w:t>
      </w:r>
      <w:proofErr w:type="gramEnd"/>
      <w:r w:rsidR="00A53114" w:rsidRPr="00A53114">
        <w:rPr>
          <w:rFonts w:ascii="Palatino Linotype" w:hAnsi="Palatino Linotype"/>
          <w:sz w:val="20"/>
          <w:szCs w:val="20"/>
        </w:rPr>
        <w:t xml:space="preserve">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proofErr w:type="gramStart"/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 xml:space="preserve"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lastRenderedPageBreak/>
        <w:t xml:space="preserve">Defendant shall have no contact with </w:t>
      </w:r>
      <w:proofErr w:type="gramStart"/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</w:t>
      </w:r>
      <w:proofErr w:type="gramStart"/>
      <w:r w:rsidRPr="001D2453">
        <w:rPr>
          <w:rFonts w:ascii="Palatino Linotype" w:hAnsi="Palatino Linotype"/>
          <w:bCs/>
          <w:sz w:val="20"/>
          <w:szCs w:val="20"/>
        </w:rPr>
        <w:t>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 class in anger </w:t>
      </w:r>
      <w:proofErr w:type="gramStart"/>
      <w:r w:rsidRPr="00417940">
        <w:rPr>
          <w:rFonts w:ascii="Palatino Linotype" w:hAnsi="Palatino Linotype"/>
          <w:bCs/>
          <w:sz w:val="20"/>
          <w:szCs w:val="20"/>
        </w:rPr>
        <w:t>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 xml:space="preserve">$</w:t>
      </w:r>
      <w:proofErr w:type="gramStart"/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 xml:space="preserve"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 xml:space="preserve">.  The Court ORDERS that any payments made by Defendant be first directed toward the payment of </w:t>
      </w:r>
      <w:proofErr w:type="gramStart"/>
      <w:r w:rsidRPr="001D2453">
        <w:rPr>
          <w:rFonts w:ascii="Palatino Linotype" w:hAnsi="Palatino Linotype"/>
          <w:sz w:val="20"/>
          <w:szCs w:val="20"/>
        </w:rPr>
        <w:t>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report forthwith to the Office of Community Control to be fitted with a SCRAM unit. 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 xml:space="preserve"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If the Court grants driving privileges, provide proof to community control of installation of a certified ignition interlock device within 30 days of the issuance of such privileges.  Defendant shall only operate vehicles equipped with a certified ignition interlock </w:t>
      </w:r>
      <w:proofErr w:type="gramStart"/>
      <w:r w:rsidRPr="001D2453">
        <w:rPr>
          <w:rFonts w:ascii="Palatino Linotype" w:hAnsi="Palatino Linotype"/>
          <w:sz w:val="20"/>
          <w:szCs w:val="20"/>
        </w:rPr>
        <w:t>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</w:t>
      </w:r>
      <w:proofErr w:type="gramStart"/>
      <w:r>
        <w:rPr>
          <w:rFonts w:ascii="Palatino Linotype" w:hAnsi="Palatino Linotype"/>
          <w:sz w:val="20"/>
          <w:szCs w:val="20"/>
        </w:rPr>
        <w:t xml:space="preserve">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 xml:space="preserve"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proofErr w:type="gramStart"/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sz w:val="20"/>
          <w:szCs w:val="20"/>
        </w:rPr>
        <w:t xml:space="preserve"> shall report forthwith to the Office of Community Control to be fitted with a </w:t>
      </w:r>
      <w:r>
        <w:rPr>
          <w:rFonts w:ascii="Palatino Linotype" w:hAnsi="Palatino Linotype"/>
          <w:sz w:val="20"/>
          <w:szCs w:val="20"/>
        </w:rPr>
        <w:lastRenderedPageBreak/>
        <w:t xml:space="preserve">GPS Monitoring unit. </w:t>
      </w:r>
      <w:r w:rsidR="00417940">
        <w:rPr>
          <w:rFonts w:ascii="Palatino Linotype" w:hAnsi="Palatino Linotype"/>
          <w:sz w:val="20"/>
          <w:szCs w:val="20"/>
        </w:rPr>
        <w:t>D</w:t>
      </w:r>
      <w:r w:rsidR="00A552CF">
        <w:rPr>
          <w:rFonts w:ascii="Palatino Linotype" w:hAnsi="Palatino Linotype"/>
          <w:sz w:val="20"/>
          <w:szCs w:val="20"/>
        </w:rPr>
        <w:t xml:space="preserve">efendant</w:t>
      </w:r>
      <w:proofErr w:type="gramEnd"/>
      <w:r w:rsidR="00A552CF">
        <w:rPr>
          <w:rFonts w:ascii="Palatino Linotype" w:hAnsi="Palatino Linotype"/>
          <w:sz w:val="20"/>
          <w:szCs w:val="20"/>
        </w:rPr>
        <w:t xml:space="preserve">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 xml:space="preserve">.</w:t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</w:t>
      </w:r>
      <w:proofErr w:type="gramStart"/>
      <w:r w:rsidR="000F1ABC">
        <w:rPr>
          <w:rFonts w:ascii="Palatino Linotype" w:hAnsi="Palatino Linotype"/>
          <w:sz w:val="20"/>
          <w:szCs w:val="20"/>
        </w:rPr>
        <w:t xml:space="preserve">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proofErr w:type="gramStart"/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proofErr w:type="gramStart"/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r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448AD" w14:textId="77777777" w:rsidR="00983BFC" w:rsidRDefault="00983BFC" w:rsidP="008F0DC3">
      <w:r>
        <w:separator/>
      </w:r>
    </w:p>
  </w:endnote>
  <w:endnote w:type="continuationSeparator" w:id="0">
    <w:p w14:paraId="44B779EB" w14:textId="77777777" w:rsidR="00983BFC" w:rsidRDefault="00983BF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3AF91" w14:textId="77777777" w:rsidR="00983BFC" w:rsidRDefault="00983BFC" w:rsidP="008F0DC3">
      <w:r>
        <w:separator/>
      </w:r>
    </w:p>
  </w:footnote>
  <w:footnote w:type="continuationSeparator" w:id="0">
    <w:p w14:paraId="3C7371D2" w14:textId="77777777" w:rsidR="00983BFC" w:rsidRDefault="00983BF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BF61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6</Pages>
  <Words>3050</Words>
  <Characters>17390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262</cp:revision>
  <cp:lastPrinted>2018-07-24T14:18:00Z</cp:lastPrinted>
  <dcterms:created xsi:type="dcterms:W3CDTF">2021-12-26T12:44:00Z</dcterms:created>
  <dcterms:modified xsi:type="dcterms:W3CDTF">2022-05-10T16:06:00Z</dcterms:modified>
</cp:coreProperties>
</file>