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July 01, 2021. Defendant </w:t>
      </w:r>
      <w:r>
        <w:rPr>
          <w:rFonts w:ascii="Palatino Linotype" w:hAnsi="Palatino Linotype"/>
          <w:sz w:val="20"/>
          <w:szCs w:val="20"/>
        </w:rPr>
        <w:t xml:space="preserve">failed to complete the terms of the License Evaluation and Assistance Program and appeared in Court for sentencing on July 07,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July 07,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September 05,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July 07,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