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June 19,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B200D8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19,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18,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19,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as a result of any failure to comply with the terms of community control, the Court may impose a </w:t>
      </w:r>
      <w:r w:rsidR="00A53114" w:rsidRPr="00A53114">
        <w:rPr>
          <w:rFonts w:ascii="Palatino Linotype" w:hAnsi="Palatino Linotype"/>
          <w:sz w:val="20"/>
          <w:szCs w:val="20"/>
        </w:rPr>
        <w:lastRenderedPageBreak/>
        <w:t>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