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21TRC10109</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Sarah</w:t>
      </w:r>
      <w:r w:rsidR="006E4EEB">
        <w:rPr>
          <w:rFonts w:ascii="Palatino Linotype" w:hAnsi="Palatino Linotype"/>
          <w:sz w:val="20"/>
          <w:szCs w:val="20"/>
        </w:rPr>
        <w:t xml:space="preserve"> </w:t>
      </w:r>
      <w:r>
        <w:rPr>
          <w:rFonts w:ascii="Palatino Linotype" w:hAnsi="Palatino Linotype"/>
          <w:sz w:val="20"/>
          <w:szCs w:val="20"/>
        </w:rPr>
        <w:t xml:space="preserve">Straub</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Geoffrey Spall,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July 05,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Stopping After Accident Info</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Reasonable Control</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4549.02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4511.202</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Kevin</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Pelanda</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Sarah Straub: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21TRC10109</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