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21TRD09200</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Brandon</w:t>
      </w:r>
      <w:r w:rsidR="006E4EEB">
        <w:rPr>
          <w:rFonts w:ascii="Palatino Linotype" w:hAnsi="Palatino Linotype"/>
          <w:sz w:val="20"/>
          <w:szCs w:val="20"/>
        </w:rPr>
        <w:t xml:space="preserve"> </w:t>
      </w:r>
      <w:r>
        <w:rPr>
          <w:rFonts w:ascii="Palatino Linotype" w:hAnsi="Palatino Linotype"/>
          <w:sz w:val="20"/>
          <w:szCs w:val="20"/>
        </w:rPr>
        <w:t xml:space="preserve">Rowedda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07,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None.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None</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None</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14,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Operating W/o A Valid Ol -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Reinstate License Ucm 1-2/3yrs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File Registration</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4510.21A*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4503.11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None</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None</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Brandon Rowedda: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Magistrate Decision</w:t>
            </w:r>
            <w:r w:rsidRPr="00E53625">
              <w:rPr>
                <w:rFonts w:ascii="Palatino Linotype" w:hAnsi="Palatino Linotype"/>
                <w:sz w:val="20"/>
                <w:szCs w:val="20"/>
              </w:rPr>
              <w:t xml:space="preserve"> 21TRD09200</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