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12,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 of DUS UCM to Assured Clear Distrance Ahead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. The Court found the amendment did alter the name or identify of the offense and therefore the motion is Denied.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 - AMENDED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12,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