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22TRC01734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Pablo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Rosero Pacheco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/ Judgment Susp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4511.22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Pablo Rosero Pacheco: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22TRC01734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