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F82548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E4E72C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7661C">
                    <w:rPr>
                      <w:rFonts w:ascii="Calibri" w:hAnsi="Calibri" w:cs="Calibri"/>
                      <w:b/>
                      <w:noProof/>
                    </w:rPr>
                    <w:t xml:space="preserve">2022-Jun-26    4:53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22TRD01698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Gabriel Creamer,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1E434C81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Judge </w:t>
      </w:r>
      <w:r>
        <w:rPr>
          <w:rFonts w:ascii="Palatino Linotype" w:hAnsi="Palatino Linotype"/>
          <w:b/>
          <w:bCs/>
        </w:rPr>
        <w:t xml:space="preserve">Kevin Pelanda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 xml:space="preserve"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June 26,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10:00 AM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Gabriel Creamer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8605" w14:textId="77777777" w:rsidR="00F82548" w:rsidRDefault="00F82548" w:rsidP="008661FF">
      <w:r>
        <w:separator/>
      </w:r>
    </w:p>
  </w:endnote>
  <w:endnote w:type="continuationSeparator" w:id="0">
    <w:p w14:paraId="4FA1F851" w14:textId="77777777" w:rsidR="00F82548" w:rsidRDefault="00F8254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001C" w14:textId="77777777" w:rsidR="00F82548" w:rsidRDefault="00F82548" w:rsidP="008661FF">
      <w:r>
        <w:separator/>
      </w:r>
    </w:p>
  </w:footnote>
  <w:footnote w:type="continuationSeparator" w:id="0">
    <w:p w14:paraId="30E113E3" w14:textId="77777777" w:rsidR="00F82548" w:rsidRDefault="00F8254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2022-06-26T08:54:00Z</dcterms:created>
  <dcterms:modified xsi:type="dcterms:W3CDTF">2022-06-26T09:07:00Z</dcterms:modified>
  <cp:category>CourtView 2000</cp:category>
</cp:coreProperties>
</file>