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Under Fra Suspension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Valid Ol Ucm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Scott Conkey: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