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Scott Conkey: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22TRD01944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