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April 01,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</w:t>
      </w:r>
      <w:r w:rsidR="00571F64">
        <w:rPr>
          <w:rFonts w:ascii="Palatino Linotype" w:hAnsi="Palatino Linotype"/>
          <w:bCs/>
          <w:sz w:val="20"/>
          <w:szCs w:val="20"/>
        </w:rPr>
        <w:t xml:space="preserve">appeared without</w:t>
      </w:r>
      <w:r w:rsidR="001D5432">
        <w:rPr>
          <w:rFonts w:ascii="Palatino Linotype" w:hAnsi="Palatino Linotype"/>
          <w:bCs/>
          <w:sz w:val="20"/>
          <w:szCs w:val="20"/>
        </w:rPr>
        <w:t xml:space="preserve">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12B1979C" w:rsidR="003D5F88" w:rsidRPr="00CE3EF6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maintain sobriety while on bond, and shall not possess, consume, or purchase alcohol or drugs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t>abuse.</w:t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 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