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‘LEAP sentencing’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, having failed to complete the terms of the License Evaluation and Assistance Program and having previously plead guilty to the charge(s) listed below, appeared in Court for sentencing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pro se, having previously waived the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 xml:space="preserve">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‘trial to court’ %}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pro se, having previously waived the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appeared in Court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}}, for a Trial to the Court. After consideration of the evidence presented at trial the Court finds as indicated in the chart below. 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‘jury trial’ </w:t>
      </w:r>
      <w:proofErr w:type="gramStart"/>
      <w:r>
        <w:rPr>
          <w:rFonts w:ascii="Palatino Linotype" w:hAnsi="Palatino Linotype"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appeared in Court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}}, for a jury trial.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sz w:val="20"/>
          <w:szCs w:val="20"/>
        </w:rPr>
        <w:t>The</w:t>
      </w:r>
      <w:proofErr w:type="gramEnd"/>
      <w:r>
        <w:rPr>
          <w:rFonts w:ascii="Palatino Linotype" w:hAnsi="Palatino Linotype"/>
          <w:sz w:val="20"/>
          <w:szCs w:val="20"/>
        </w:rPr>
        <w:t xml:space="preserve"> jury found and the Court sentenced as indicated in the chart below. 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>{</w:t>
      </w:r>
      <w:proofErr w:type="gramEnd"/>
      <w:r w:rsidR="009910BC">
        <w:rPr>
          <w:rFonts w:ascii="Palatino Linotype" w:hAnsi="Palatino Linotype"/>
          <w:sz w:val="20"/>
          <w:szCs w:val="20"/>
        </w:rPr>
        <w:t>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</w:t>
      </w:r>
      <w:proofErr w:type="gramStart"/>
      <w:r>
        <w:rPr>
          <w:rFonts w:ascii="Palatino Linotype" w:hAnsi="Palatino Linotype"/>
          <w:sz w:val="20"/>
          <w:szCs w:val="20"/>
        </w:rPr>
        <w:t>sentencing.</w:t>
      </w:r>
      <w:r w:rsidR="00C649E8">
        <w:rPr>
          <w:rFonts w:ascii="Palatino Linotype" w:hAnsi="Palatino Linotype"/>
          <w:sz w:val="20"/>
          <w:szCs w:val="20"/>
        </w:rPr>
        <w:t>prepare</w:t>
      </w:r>
      <w:proofErr w:type="gramEnd"/>
      <w:r w:rsidR="00C649E8">
        <w:rPr>
          <w:rFonts w:ascii="Palatino Linotype" w:hAnsi="Palatino Linotype"/>
          <w:sz w:val="20"/>
          <w:szCs w:val="20"/>
        </w:rPr>
        <w:t>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