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8" w:space="5" w:color="B08D57"/>
        </w:pBdr>
      </w:pPr>
      <w:r>
        <w:rPr>
          <w:rFonts w:ascii="Cambria" w:hAnsi="Cambria"/>
          <w:b/>
          <w:color w:val="1E3557"/>
          <w:sz w:val="46"/>
        </w:rPr>
        <w:t>HARDENING VALIDATION REPORT</w:t>
      </w:r>
    </w:p>
    <w:p>
      <w:pPr>
        <w:spacing w:after="140"/>
      </w:pPr>
      <w:r>
        <w:rPr>
          <w:rFonts w:ascii="Cambria" w:hAnsi="Cambria"/>
          <w:b/>
          <w:color w:val="38577D"/>
          <w:sz w:val="25"/>
        </w:rPr>
        <w:t>Phase 10  |  Windows, SMB, Logging, and Attack Validation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384"/>
        <w:gridCol w:w="1512"/>
        <w:gridCol w:w="3456"/>
      </w:tblGrid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4F2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3557"/>
                <w:sz w:val="16"/>
              </w:rPr>
              <w:t>Report ID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4F2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6"/>
              </w:rPr>
              <w:t>SOC-HL-P10-2026-0711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4F2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3557"/>
                <w:sz w:val="16"/>
              </w:rPr>
              <w:t>Result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4F2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E6B52"/>
                <w:sz w:val="16"/>
              </w:rPr>
              <w:t>PASSED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4F2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3557"/>
                <w:sz w:val="16"/>
              </w:rPr>
              <w:t>Date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4F2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6"/>
              </w:rPr>
              <w:t>11 July 2026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4F2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3557"/>
                <w:sz w:val="16"/>
              </w:rPr>
              <w:t>Status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4F2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6"/>
              </w:rPr>
              <w:t>Closed — Lab Exercise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4F2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3557"/>
                <w:sz w:val="16"/>
              </w:rPr>
              <w:t>Target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4F2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6"/>
              </w:rPr>
              <w:t>WIN11-01 / 192.168.10.20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4F2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3557"/>
                <w:sz w:val="16"/>
              </w:rPr>
              <w:t>Source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4F2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6"/>
              </w:rPr>
              <w:t>KALI-01 / 192.168.10.30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4F2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3557"/>
                <w:sz w:val="16"/>
              </w:rPr>
              <w:t>Scope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4F2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6"/>
              </w:rPr>
              <w:t>Hardening and validation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4F2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3557"/>
                <w:sz w:val="16"/>
              </w:rPr>
              <w:t>Primary control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4F2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6"/>
              </w:rPr>
              <w:t>Account lockout</w:t>
            </w:r>
          </w:p>
        </w:tc>
      </w:tr>
    </w:tbl>
    <w:p>
      <w:pPr>
        <w:keepNext/>
        <w:spacing w:before="160" w:after="80"/>
        <w:pBdr>
          <w:bottom w:val="single" w:sz="6" w:space="5" w:color="B08D57"/>
        </w:pBdr>
      </w:pPr>
      <w:r>
        <w:rPr>
          <w:rFonts w:ascii="Cambria" w:hAnsi="Cambria"/>
          <w:b/>
          <w:color w:val="1E3557"/>
          <w:sz w:val="28"/>
        </w:rPr>
        <w:t>Executive Summary</w:t>
      </w:r>
    </w:p>
    <w:p>
      <w:pPr>
        <w:spacing w:after="80" w:line="259" w:lineRule="auto"/>
      </w:pPr>
      <w:r>
        <w:rPr>
          <w:rFonts w:ascii="Arial" w:hAnsi="Arial"/>
          <w:color w:val="1F2933"/>
          <w:sz w:val="19"/>
        </w:rPr>
        <w:t>Phase 10 strengthened the SOC lab with account-lockout controls, service and protocol verification, host firewall enforcement, reduced remote-access exposure, and renewed logging checks. A final NetExec validation against the local Administrator account returned STATUS_ACCOUNT_LOCKED_OUT. Splunk also recorded post-hardening failed logons and an account-lockout event, while no new successful localadmin network logon appeared after the hardening window. The evidence confirms that the lockout and monitoring controls operated as intended.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756"/>
        <w:gridCol w:w="8107"/>
      </w:tblGrid>
      <w:tr>
        <w:tc>
          <w:tcPr>
            <w:tcW w:type="dxa" w:w="17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2E6B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OUTCOME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4EF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2E6B52"/>
                <w:sz w:val="17"/>
              </w:rPr>
              <w:t>The final validation did not obtain authenticated access. Windows enforced account lockout, and Splunk preserved evidence of the defensive response.</w:t>
            </w:r>
          </w:p>
        </w:tc>
      </w:tr>
    </w:tbl>
    <w:p>
      <w:pPr>
        <w:keepNext/>
        <w:spacing w:before="160" w:after="80"/>
        <w:pBdr>
          <w:bottom w:val="single" w:sz="6" w:space="5" w:color="B08D57"/>
        </w:pBdr>
      </w:pPr>
      <w:r>
        <w:rPr>
          <w:rFonts w:ascii="Cambria" w:hAnsi="Cambria"/>
          <w:b/>
          <w:color w:val="1E3557"/>
          <w:sz w:val="28"/>
        </w:rPr>
        <w:t>Before and After Summary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2390"/>
        <w:gridCol w:w="2275"/>
        <w:gridCol w:w="2491"/>
        <w:gridCol w:w="2707"/>
      </w:tblGrid>
      <w:tr>
        <w:trPr>
          <w:tblHeader w:val="true"/>
        </w:trPr>
        <w:tc>
          <w:tcPr>
            <w:tcW w:type="dxa" w:w="23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E355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22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E355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Before</w:t>
            </w:r>
          </w:p>
        </w:tc>
        <w:tc>
          <w:tcPr>
            <w:tcW w:type="dxa" w:w="24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E355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After</w:t>
            </w:r>
          </w:p>
        </w:tc>
        <w:tc>
          <w:tcPr>
            <w:tcW w:type="dxa" w:w="27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E355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Assessment</w:t>
            </w:r>
          </w:p>
        </w:tc>
      </w:tr>
      <w:tr>
        <w:tc>
          <w:tcPr>
            <w:tcW w:type="dxa" w:w="23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5"/>
              </w:rPr>
              <w:t>Domain lockout</w:t>
            </w:r>
          </w:p>
        </w:tc>
        <w:tc>
          <w:tcPr>
            <w:tcW w:type="dxa" w:w="227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Threshold 0</w:t>
            </w:r>
          </w:p>
        </w:tc>
        <w:tc>
          <w:tcPr>
            <w:tcW w:type="dxa" w:w="249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5 attempts / 15 min</w:t>
            </w:r>
          </w:p>
        </w:tc>
        <w:tc>
          <w:tcPr>
            <w:tcW w:type="dxa" w:w="270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E6B52"/>
                <w:sz w:val="15"/>
              </w:rPr>
              <w:t>Improved</w:t>
            </w:r>
          </w:p>
        </w:tc>
      </w:tr>
      <w:tr>
        <w:tc>
          <w:tcPr>
            <w:tcW w:type="dxa" w:w="2390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5"/>
              </w:rPr>
              <w:t>Local lockout</w:t>
            </w:r>
          </w:p>
        </w:tc>
        <w:tc>
          <w:tcPr>
            <w:tcW w:type="dxa" w:w="2275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Never locked</w:t>
            </w:r>
          </w:p>
        </w:tc>
        <w:tc>
          <w:tcPr>
            <w:tcW w:type="dxa" w:w="2491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5 attempts / 15 min</w:t>
            </w:r>
          </w:p>
        </w:tc>
        <w:tc>
          <w:tcPr>
            <w:tcW w:type="dxa" w:w="2707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E6B52"/>
                <w:sz w:val="15"/>
              </w:rPr>
              <w:t>Improved</w:t>
            </w:r>
          </w:p>
        </w:tc>
      </w:tr>
      <w:tr>
        <w:tc>
          <w:tcPr>
            <w:tcW w:type="dxa" w:w="23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5"/>
              </w:rPr>
              <w:t>SMB1</w:t>
            </w:r>
          </w:p>
        </w:tc>
        <w:tc>
          <w:tcPr>
            <w:tcW w:type="dxa" w:w="227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Disabled</w:t>
            </w:r>
          </w:p>
        </w:tc>
        <w:tc>
          <w:tcPr>
            <w:tcW w:type="dxa" w:w="249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Disabled</w:t>
            </w:r>
          </w:p>
        </w:tc>
        <w:tc>
          <w:tcPr>
            <w:tcW w:type="dxa" w:w="270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5"/>
              </w:rPr>
              <w:t>Already compliant</w:t>
            </w:r>
          </w:p>
        </w:tc>
      </w:tr>
      <w:tr>
        <w:tc>
          <w:tcPr>
            <w:tcW w:type="dxa" w:w="2390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5"/>
              </w:rPr>
              <w:t>SMB signing</w:t>
            </w:r>
          </w:p>
        </w:tc>
        <w:tc>
          <w:tcPr>
            <w:tcW w:type="dxa" w:w="2275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Required</w:t>
            </w:r>
          </w:p>
        </w:tc>
        <w:tc>
          <w:tcPr>
            <w:tcW w:type="dxa" w:w="2491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Required</w:t>
            </w:r>
          </w:p>
        </w:tc>
        <w:tc>
          <w:tcPr>
            <w:tcW w:type="dxa" w:w="2707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E6B52"/>
                <w:sz w:val="15"/>
              </w:rPr>
              <w:t>Verified</w:t>
            </w:r>
          </w:p>
        </w:tc>
      </w:tr>
      <w:tr>
        <w:tc>
          <w:tcPr>
            <w:tcW w:type="dxa" w:w="23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5"/>
              </w:rPr>
              <w:t>RDP</w:t>
            </w:r>
          </w:p>
        </w:tc>
        <w:tc>
          <w:tcPr>
            <w:tcW w:type="dxa" w:w="227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Not baselined</w:t>
            </w:r>
          </w:p>
        </w:tc>
        <w:tc>
          <w:tcPr>
            <w:tcW w:type="dxa" w:w="249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Disabled</w:t>
            </w:r>
          </w:p>
        </w:tc>
        <w:tc>
          <w:tcPr>
            <w:tcW w:type="dxa" w:w="270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5"/>
              </w:rPr>
              <w:t>Reduced exposure</w:t>
            </w:r>
          </w:p>
        </w:tc>
      </w:tr>
      <w:tr>
        <w:tc>
          <w:tcPr>
            <w:tcW w:type="dxa" w:w="2390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5"/>
              </w:rPr>
              <w:t>Firewall</w:t>
            </w:r>
          </w:p>
        </w:tc>
        <w:tc>
          <w:tcPr>
            <w:tcW w:type="dxa" w:w="2275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Not baselined</w:t>
            </w:r>
          </w:p>
        </w:tc>
        <w:tc>
          <w:tcPr>
            <w:tcW w:type="dxa" w:w="2491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All profiles ON</w:t>
            </w:r>
          </w:p>
        </w:tc>
        <w:tc>
          <w:tcPr>
            <w:tcW w:type="dxa" w:w="2707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E6B52"/>
                <w:sz w:val="15"/>
              </w:rPr>
              <w:t>Verified</w:t>
            </w:r>
          </w:p>
        </w:tc>
      </w:tr>
      <w:tr>
        <w:tc>
          <w:tcPr>
            <w:tcW w:type="dxa" w:w="23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5"/>
              </w:rPr>
              <w:t>Logging</w:t>
            </w:r>
          </w:p>
        </w:tc>
        <w:tc>
          <w:tcPr>
            <w:tcW w:type="dxa" w:w="227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Operational</w:t>
            </w:r>
          </w:p>
        </w:tc>
        <w:tc>
          <w:tcPr>
            <w:tcW w:type="dxa" w:w="249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Operational</w:t>
            </w:r>
          </w:p>
        </w:tc>
        <w:tc>
          <w:tcPr>
            <w:tcW w:type="dxa" w:w="270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5"/>
              </w:rPr>
              <w:t>Revalidated</w:t>
            </w:r>
          </w:p>
        </w:tc>
      </w:tr>
      <w:tr>
        <w:tc>
          <w:tcPr>
            <w:tcW w:type="dxa" w:w="2390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5"/>
              </w:rPr>
              <w:t>Attack outcome</w:t>
            </w:r>
          </w:p>
        </w:tc>
        <w:tc>
          <w:tcPr>
            <w:tcW w:type="dxa" w:w="2275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Phase 9 access succeeded</w:t>
            </w:r>
          </w:p>
        </w:tc>
        <w:tc>
          <w:tcPr>
            <w:tcW w:type="dxa" w:w="2491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Account locked</w:t>
            </w:r>
          </w:p>
        </w:tc>
        <w:tc>
          <w:tcPr>
            <w:tcW w:type="dxa" w:w="2707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E6B52"/>
                <w:sz w:val="15"/>
              </w:rPr>
              <w:t>Blocked</w:t>
            </w:r>
          </w:p>
        </w:tc>
      </w:tr>
    </w:tbl>
    <w:p>
      <w:r>
        <w:br w:type="page"/>
      </w:r>
    </w:p>
    <w:p>
      <w:pPr>
        <w:keepNext/>
        <w:spacing w:before="160" w:after="80"/>
        <w:pBdr>
          <w:bottom w:val="single" w:sz="6" w:space="5" w:color="B08D57"/>
        </w:pBdr>
      </w:pPr>
      <w:r>
        <w:rPr>
          <w:rFonts w:ascii="Cambria" w:hAnsi="Cambria"/>
          <w:b/>
          <w:color w:val="1E3557"/>
          <w:sz w:val="28"/>
        </w:rPr>
        <w:t>Recovery Point and Pre-Hardening Baseline</w:t>
      </w:r>
    </w:p>
    <w:p>
      <w:pPr>
        <w:spacing w:after="80" w:line="259" w:lineRule="auto"/>
      </w:pPr>
      <w:r>
        <w:rPr>
          <w:rFonts w:ascii="Arial" w:hAnsi="Arial"/>
          <w:color w:val="1F2933"/>
          <w:sz w:val="19"/>
        </w:rPr>
        <w:t>Before applying controls, the lab state was preserved for all three virtual machines. The baseline captures the domain policy, local account policy, and SMB configuration used for the final comparison.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3"/>
        <w:gridCol w:w="3297"/>
        <w:gridCol w:w="3283"/>
      </w:tblGrid>
      <w:tr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1" cy="1426962"/>
                  <wp:docPr id="1" name="Picture 1" descr="VirtualBox snapshot for DC01 named Phase09-Complete-PreHardening." title="VirtualBox snapshot for DC01 named Phase09-Complete-PreHardening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DC01-Pre-Hardening-Snapshot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14269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9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11095" cy="1401869"/>
                  <wp:docPr id="2" name="Picture 2" descr="VirtualBox snapshot for WIN11-01 named Phase09-Complete-PreHardening." title="VirtualBox snapshot for WIN11-01 named Phase09-Complete-PreHardening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WIN11-Pre-Hardening-Snapsho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095" cy="1401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1" cy="1422971"/>
                  <wp:docPr id="3" name="Picture 3" descr="VirtualBox snapshot for KALI-01 named Phase09-Complete-PreHardening." title="VirtualBox snapshot for KALI-01 named Phase09-Complete-PreHardening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KALI-Pre-Hardening-Snapshot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14229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i/>
                <w:color w:val="657786"/>
                <w:sz w:val="14"/>
              </w:rPr>
              <w:t>DC01 recovery snapshot</w:t>
            </w:r>
          </w:p>
        </w:tc>
        <w:tc>
          <w:tcPr>
            <w:tcW w:type="dxa" w:w="329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i/>
                <w:color w:val="657786"/>
                <w:sz w:val="14"/>
              </w:rPr>
              <w:t>WIN11-01 recovery snapshot</w:t>
            </w:r>
          </w:p>
        </w:tc>
        <w:tc>
          <w:tcPr>
            <w:tcW w:type="dxa" w:w="32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i/>
                <w:color w:val="657786"/>
                <w:sz w:val="14"/>
              </w:rPr>
              <w:t>KALI-01 recovery snapshot</w:t>
            </w:r>
          </w:p>
        </w:tc>
      </w:tr>
    </w:tbl>
    <w:p>
      <w:pPr>
        <w:keepNext/>
        <w:spacing w:before="100" w:after="80"/>
      </w:pPr>
      <w:r>
        <w:rPr>
          <w:rFonts w:ascii="Cambria" w:hAnsi="Cambria"/>
          <w:b/>
          <w:color w:val="38577D"/>
          <w:sz w:val="22"/>
        </w:rPr>
        <w:t>Baseline Findings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2476"/>
        <w:gridCol w:w="2044"/>
        <w:gridCol w:w="2448"/>
        <w:gridCol w:w="2894"/>
      </w:tblGrid>
      <w:tr>
        <w:trPr>
          <w:tblHeader w:val="true"/>
        </w:trPr>
        <w:tc>
          <w:tcPr>
            <w:tcW w:type="dxa" w:w="24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E355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20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E355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Setting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E355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Before value</w:t>
            </w:r>
          </w:p>
        </w:tc>
        <w:tc>
          <w:tcPr>
            <w:tcW w:type="dxa" w:w="28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E355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Interpretation</w:t>
            </w:r>
          </w:p>
        </w:tc>
      </w:tr>
      <w:tr>
        <w:tc>
          <w:tcPr>
            <w:tcW w:type="dxa" w:w="24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Domain</w:t>
            </w:r>
          </w:p>
        </w:tc>
        <w:tc>
          <w:tcPr>
            <w:tcW w:type="dxa" w:w="20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Complexity</w:t>
            </w:r>
          </w:p>
        </w:tc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5"/>
              </w:rPr>
              <w:t>True</w:t>
            </w:r>
          </w:p>
        </w:tc>
        <w:tc>
          <w:tcPr>
            <w:tcW w:type="dxa" w:w="289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5"/>
              </w:rPr>
              <w:t>Already enabled</w:t>
            </w:r>
          </w:p>
        </w:tc>
      </w:tr>
      <w:tr>
        <w:tc>
          <w:tcPr>
            <w:tcW w:type="dxa" w:w="2476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Domain</w:t>
            </w:r>
          </w:p>
        </w:tc>
        <w:tc>
          <w:tcPr>
            <w:tcW w:type="dxa" w:w="2044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Min length</w:t>
            </w:r>
          </w:p>
        </w:tc>
        <w:tc>
          <w:tcPr>
            <w:tcW w:type="dxa" w:w="2448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5"/>
              </w:rPr>
              <w:t>7</w:t>
            </w:r>
          </w:p>
        </w:tc>
        <w:tc>
          <w:tcPr>
            <w:tcW w:type="dxa" w:w="2894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5"/>
              </w:rPr>
              <w:t>Retained</w:t>
            </w:r>
          </w:p>
        </w:tc>
      </w:tr>
      <w:tr>
        <w:tc>
          <w:tcPr>
            <w:tcW w:type="dxa" w:w="24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Domain</w:t>
            </w:r>
          </w:p>
        </w:tc>
        <w:tc>
          <w:tcPr>
            <w:tcW w:type="dxa" w:w="20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Password history</w:t>
            </w:r>
          </w:p>
        </w:tc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5"/>
              </w:rPr>
              <w:t>24</w:t>
            </w:r>
          </w:p>
        </w:tc>
        <w:tc>
          <w:tcPr>
            <w:tcW w:type="dxa" w:w="289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5"/>
              </w:rPr>
              <w:t>Retained</w:t>
            </w:r>
          </w:p>
        </w:tc>
      </w:tr>
      <w:tr>
        <w:tc>
          <w:tcPr>
            <w:tcW w:type="dxa" w:w="2476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Domain</w:t>
            </w:r>
          </w:p>
        </w:tc>
        <w:tc>
          <w:tcPr>
            <w:tcW w:type="dxa" w:w="2044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Lockout threshold</w:t>
            </w:r>
          </w:p>
        </w:tc>
        <w:tc>
          <w:tcPr>
            <w:tcW w:type="dxa" w:w="2448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5"/>
              </w:rPr>
              <w:t>0</w:t>
            </w:r>
          </w:p>
        </w:tc>
        <w:tc>
          <w:tcPr>
            <w:tcW w:type="dxa" w:w="2894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5"/>
              </w:rPr>
              <w:t>No domain lockout</w:t>
            </w:r>
          </w:p>
        </w:tc>
      </w:tr>
      <w:tr>
        <w:tc>
          <w:tcPr>
            <w:tcW w:type="dxa" w:w="24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Local</w:t>
            </w:r>
          </w:p>
        </w:tc>
        <w:tc>
          <w:tcPr>
            <w:tcW w:type="dxa" w:w="20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Min length/history</w:t>
            </w:r>
          </w:p>
        </w:tc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5"/>
              </w:rPr>
              <w:t>7 / 20</w:t>
            </w:r>
          </w:p>
        </w:tc>
        <w:tc>
          <w:tcPr>
            <w:tcW w:type="dxa" w:w="289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5"/>
              </w:rPr>
              <w:t>Retained</w:t>
            </w:r>
          </w:p>
        </w:tc>
      </w:tr>
      <w:tr>
        <w:tc>
          <w:tcPr>
            <w:tcW w:type="dxa" w:w="2476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Local</w:t>
            </w:r>
          </w:p>
        </w:tc>
        <w:tc>
          <w:tcPr>
            <w:tcW w:type="dxa" w:w="2044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Lockout threshold</w:t>
            </w:r>
          </w:p>
        </w:tc>
        <w:tc>
          <w:tcPr>
            <w:tcW w:type="dxa" w:w="2448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5"/>
              </w:rPr>
              <w:t>Never</w:t>
            </w:r>
          </w:p>
        </w:tc>
        <w:tc>
          <w:tcPr>
            <w:tcW w:type="dxa" w:w="2894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5"/>
              </w:rPr>
              <w:t>No local lockout</w:t>
            </w:r>
          </w:p>
        </w:tc>
      </w:tr>
      <w:tr>
        <w:tc>
          <w:tcPr>
            <w:tcW w:type="dxa" w:w="24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SMB</w:t>
            </w:r>
          </w:p>
        </w:tc>
        <w:tc>
          <w:tcPr>
            <w:tcW w:type="dxa" w:w="20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SMB1 / SMB2</w:t>
            </w:r>
          </w:p>
        </w:tc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5"/>
              </w:rPr>
              <w:t>False / True</w:t>
            </w:r>
          </w:p>
        </w:tc>
        <w:tc>
          <w:tcPr>
            <w:tcW w:type="dxa" w:w="289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5"/>
              </w:rPr>
              <w:t>SMB1 already disabled</w:t>
            </w:r>
          </w:p>
        </w:tc>
      </w:tr>
      <w:tr>
        <w:tc>
          <w:tcPr>
            <w:tcW w:type="dxa" w:w="2476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SMB</w:t>
            </w:r>
          </w:p>
        </w:tc>
        <w:tc>
          <w:tcPr>
            <w:tcW w:type="dxa" w:w="2044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Signing required</w:t>
            </w:r>
          </w:p>
        </w:tc>
        <w:tc>
          <w:tcPr>
            <w:tcW w:type="dxa" w:w="2448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5"/>
              </w:rPr>
              <w:t>True</w:t>
            </w:r>
          </w:p>
        </w:tc>
        <w:tc>
          <w:tcPr>
            <w:tcW w:type="dxa" w:w="2894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5"/>
              </w:rPr>
              <w:t>Already required</w:t>
            </w:r>
          </w:p>
        </w:tc>
      </w:tr>
    </w:tbl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756"/>
        <w:gridCol w:w="8107"/>
      </w:tblGrid>
      <w:tr>
        <w:tc>
          <w:tcPr>
            <w:tcW w:type="dxa" w:w="17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8A6A3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BASELINE NOTE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2E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8A6A32"/>
                <w:sz w:val="17"/>
              </w:rPr>
              <w:t>SMB1 and mandatory server signing were already configured securely before Phase 10; they were verified rather than newly enabled.</w:t>
            </w:r>
          </w:p>
        </w:tc>
      </w:tr>
    </w:tbl>
    <w:p>
      <w:r>
        <w:br w:type="page"/>
      </w:r>
    </w:p>
    <w:p>
      <w:pPr>
        <w:keepNext/>
        <w:spacing w:before="160" w:after="80"/>
        <w:pBdr>
          <w:bottom w:val="single" w:sz="6" w:space="5" w:color="B08D57"/>
        </w:pBdr>
      </w:pPr>
      <w:r>
        <w:rPr>
          <w:rFonts w:ascii="Cambria" w:hAnsi="Cambria"/>
          <w:b/>
          <w:color w:val="1E3557"/>
          <w:sz w:val="28"/>
        </w:rPr>
        <w:t>Baseline Evidence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4968"/>
      </w:tblGrid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79" cy="2346257"/>
                  <wp:docPr id="4" name="Picture 4" descr="DC01 PowerShell output showing the default domain password and lockout policy before hardening." title="DC01 PowerShell output showing the default domain password and lockout policy before hardening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Domain-Policy-Before-Hardenin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79" cy="23462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2771527"/>
                  <wp:docPr id="5" name="Picture 5" descr="WIN11-01 net accounts output showing the local account policy before hardening." title="WIN11-01 net accounts output showing the local account policy before hardening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Local-Account-Policy-Befor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771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i/>
                <w:color w:val="657786"/>
                <w:sz w:val="14"/>
              </w:rPr>
              <w:t>Figure 1. Domain policy before hardening.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i/>
                <w:color w:val="657786"/>
                <w:sz w:val="14"/>
              </w:rPr>
              <w:t>Figure 2. Local account policy before hardening.</w:t>
            </w:r>
          </w:p>
        </w:tc>
      </w:tr>
    </w:tbl>
    <w:p>
      <w:pPr>
        <w:keepNext/>
        <w:spacing w:before="100" w:after="80"/>
      </w:pPr>
      <w:r>
        <w:rPr>
          <w:rFonts w:ascii="Cambria" w:hAnsi="Cambria"/>
          <w:b/>
          <w:color w:val="38577D"/>
          <w:sz w:val="22"/>
        </w:rPr>
        <w:t>SMB Baseline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160520" cy="3893122"/>
            <wp:docPr id="6" name="Picture 6" descr="WIN11-01 SMB server configuration before hardening: SMB1 false, SMB2 true, and required signing true." title="WIN11-01 SMB server configuration before hardening: SMB1 false, SMB2 true, and required signing tru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MB-Configuration-Befo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3893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Arial" w:hAnsi="Arial"/>
          <w:i/>
          <w:color w:val="657786"/>
          <w:sz w:val="15"/>
        </w:rPr>
        <w:t>Figure 3. SMB1 was disabled and server signing was already required before Phase 10.</w:t>
      </w:r>
    </w:p>
    <w:p>
      <w:r>
        <w:br w:type="page"/>
      </w:r>
    </w:p>
    <w:p>
      <w:pPr>
        <w:keepNext/>
        <w:spacing w:before="160" w:after="80"/>
        <w:pBdr>
          <w:bottom w:val="single" w:sz="6" w:space="5" w:color="B08D57"/>
        </w:pBdr>
      </w:pPr>
      <w:r>
        <w:rPr>
          <w:rFonts w:ascii="Cambria" w:hAnsi="Cambria"/>
          <w:b/>
          <w:color w:val="1E3557"/>
          <w:sz w:val="28"/>
        </w:rPr>
        <w:t>Password and Account-Lockout Controls</w:t>
      </w:r>
    </w:p>
    <w:p>
      <w:pPr>
        <w:spacing w:after="80" w:line="259" w:lineRule="auto"/>
      </w:pPr>
      <w:r>
        <w:rPr>
          <w:rFonts w:ascii="Arial" w:hAnsi="Arial"/>
          <w:color w:val="1F2933"/>
          <w:sz w:val="19"/>
        </w:rPr>
        <w:t>The principal security change was enabling account lockout for both the domain and the Windows 11 local account policy. Password complexity, minimum length, and history settings remained in place.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24"/>
        <w:gridCol w:w="4939"/>
      </w:tblGrid>
      <w:tr>
        <w:tc>
          <w:tcPr>
            <w:tcW w:type="dxa" w:w="49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44368" cy="2369032"/>
                  <wp:docPr id="7" name="Picture 7" descr="DC01 output showing domain threshold 5, duration 15 minutes, and observation window 15 minutes." title="DC01 output showing domain threshold 5, duration 15 minutes, and observation window 15 minute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Domain-Lockout-Policy-Aft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368" cy="2369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2369599"/>
                  <wp:docPr id="8" name="Picture 8" descr="DC01 output confirming complexity true, minimum length 7, history 24, and lockout threshold 5." title="DC01 output confirming complexity true, minimum length 7, history 24, and lockout threshold 5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Domain-Password-Policy-Afte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2369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i/>
                <w:color w:val="657786"/>
                <w:sz w:val="14"/>
              </w:rPr>
              <w:t>Figure 4. Domain lockout policy after hardening.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i/>
                <w:color w:val="657786"/>
                <w:sz w:val="14"/>
              </w:rPr>
              <w:t>Figure 5. Domain password policy after hardening.</w:t>
            </w:r>
          </w:p>
        </w:tc>
      </w:tr>
    </w:tbl>
    <w:p>
      <w:pPr>
        <w:keepNext/>
        <w:spacing w:before="100" w:after="80"/>
      </w:pPr>
      <w:r>
        <w:rPr>
          <w:rFonts w:ascii="Cambria" w:hAnsi="Cambria"/>
          <w:b/>
          <w:color w:val="38577D"/>
          <w:sz w:val="22"/>
        </w:rPr>
        <w:t>Local Lockout Policy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069080" cy="3896211"/>
            <wp:docPr id="9" name="Picture 9" descr="WIN11-01 net accounts output showing threshold 5, duration 15 minutes, and observation window 15 minutes." title="WIN11-01 net accounts output showing threshold 5, duration 15 minutes, and observation window 15 minu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ocal-Lockout-Policy-Af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3896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Arial" w:hAnsi="Arial"/>
          <w:i/>
          <w:color w:val="657786"/>
          <w:sz w:val="15"/>
        </w:rPr>
        <w:t>Figure 6. WIN11-01 local accounts lock after five failures for 15 minutes.</w:t>
      </w:r>
    </w:p>
    <w:p>
      <w:r>
        <w:br w:type="page"/>
      </w:r>
    </w:p>
    <w:p>
      <w:pPr>
        <w:keepNext/>
        <w:spacing w:before="160" w:after="80"/>
        <w:pBdr>
          <w:bottom w:val="single" w:sz="6" w:space="5" w:color="B08D57"/>
        </w:pBdr>
      </w:pPr>
      <w:r>
        <w:rPr>
          <w:rFonts w:ascii="Cambria" w:hAnsi="Cambria"/>
          <w:b/>
          <w:color w:val="1E3557"/>
          <w:sz w:val="28"/>
        </w:rPr>
        <w:t>Account and SMB Hardening Verification</w:t>
      </w:r>
    </w:p>
    <w:p>
      <w:pPr>
        <w:keepNext/>
        <w:spacing w:before="100" w:after="80"/>
      </w:pPr>
      <w:r>
        <w:rPr>
          <w:rFonts w:ascii="Cambria" w:hAnsi="Cambria"/>
          <w:b/>
          <w:color w:val="38577D"/>
          <w:sz w:val="22"/>
        </w:rPr>
        <w:t>Local Account State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3794760" cy="3650080"/>
            <wp:docPr id="10" name="Picture 10" descr="WIN11-01 output showing Guest disabled and localadmin enabled for controlled validation." title="WIN11-01 output showing Guest disabled and localadmin enabled for controlled valid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ocalAdmin-Statu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365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Arial" w:hAnsi="Arial"/>
          <w:i/>
          <w:color w:val="657786"/>
          <w:sz w:val="15"/>
        </w:rPr>
        <w:t>Figure 7. Guest is disabled; localadmin remained enabled for the controlled test.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24"/>
        <w:gridCol w:w="4939"/>
      </w:tblGrid>
      <w:tr>
        <w:tc>
          <w:tcPr>
            <w:tcW w:type="dxa" w:w="49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44368" cy="3286811"/>
                  <wp:docPr id="11" name="Picture 11" descr="SMB configuration after hardening showing SMB1 false, SMB2 true, and required signing true." title="SMB configuration after hardening showing SMB1 false, SMB2 true, and required signing tru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SMB-Hardening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368" cy="32868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3317071"/>
                  <wp:docPr id="12" name="Picture 12" descr="Windows optional feature output showing SMB1Protocol disabled." title="Windows optional feature output showing SMB1Protocol disabled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SMB1-Disable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3317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i/>
                <w:color w:val="657786"/>
                <w:sz w:val="14"/>
              </w:rPr>
              <w:t>Figure 8. SMB configuration verified.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i/>
                <w:color w:val="657786"/>
                <w:sz w:val="14"/>
              </w:rPr>
              <w:t>Figure 9. SMB1 optional feature disabled.</w:t>
            </w:r>
          </w:p>
        </w:tc>
      </w:tr>
    </w:tbl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756"/>
        <w:gridCol w:w="8107"/>
      </w:tblGrid>
      <w:tr>
        <w:tc>
          <w:tcPr>
            <w:tcW w:type="dxa" w:w="17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8A6A3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ASSESSMENT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2E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8A6A32"/>
                <w:sz w:val="17"/>
              </w:rPr>
              <w:t>The SMB evidence confirms secure settings but does not show a before/after change: SMB1 and required signing were already present in the baseline.</w:t>
            </w:r>
          </w:p>
        </w:tc>
      </w:tr>
    </w:tbl>
    <w:p>
      <w:r>
        <w:br w:type="page"/>
      </w:r>
    </w:p>
    <w:p>
      <w:pPr>
        <w:keepNext/>
        <w:spacing w:before="160" w:after="80"/>
        <w:pBdr>
          <w:bottom w:val="single" w:sz="6" w:space="5" w:color="B08D57"/>
        </w:pBdr>
      </w:pPr>
      <w:r>
        <w:rPr>
          <w:rFonts w:ascii="Cambria" w:hAnsi="Cambria"/>
          <w:b/>
          <w:color w:val="1E3557"/>
          <w:sz w:val="28"/>
        </w:rPr>
        <w:t>Remote Access and Host Firewall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24"/>
        <w:gridCol w:w="4939"/>
      </w:tblGrid>
      <w:tr>
        <w:tc>
          <w:tcPr>
            <w:tcW w:type="dxa" w:w="49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44368" cy="1224677"/>
                  <wp:docPr id="13" name="Picture 13" descr="Registry output fDenyTSConnections equals 1, confirming RDP is disabled." title="Registry output fDenyTSConnections equals 1, confirming RDP is disabled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RDP-Disable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368" cy="1224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1347782"/>
                  <wp:docPr id="14" name="Picture 14" descr="Get-SmbShare output showing ADMIN$, C$, and IPC$ administrative shares." title="Get-SmbShare output showing ADMIN$, C$, and IPC$ administrative share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Administrative-Share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13477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i/>
                <w:color w:val="657786"/>
                <w:sz w:val="14"/>
              </w:rPr>
              <w:t>Figure 10. RDP disabled.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i/>
                <w:color w:val="657786"/>
                <w:sz w:val="14"/>
              </w:rPr>
              <w:t>Figure 12. Default administrative shares remain.</w:t>
            </w:r>
          </w:p>
        </w:tc>
      </w:tr>
    </w:tbl>
    <w:p>
      <w:pPr>
        <w:keepNext/>
        <w:spacing w:before="100" w:after="80"/>
      </w:pPr>
      <w:r>
        <w:rPr>
          <w:rFonts w:ascii="Cambria" w:hAnsi="Cambria"/>
          <w:b/>
          <w:color w:val="38577D"/>
          <w:sz w:val="22"/>
        </w:rPr>
        <w:t>Windows Firewall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3977639" cy="4459645"/>
            <wp:docPr id="15" name="Picture 15" descr="Windows Firewall output showing Domain, Private, and Public profiles enabled with block inbound and allow outbound policy." title="Windows Firewall output showing Domain, Private, and Public profiles enabled with block inbound and allow outbound polic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irewall-Enabl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4459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Arial" w:hAnsi="Arial"/>
          <w:i/>
          <w:color w:val="657786"/>
          <w:sz w:val="15"/>
        </w:rPr>
        <w:t>Figure 11. All Windows Firewall profiles are enabled with inbound traffic blocked by default.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756"/>
        <w:gridCol w:w="8107"/>
      </w:tblGrid>
      <w:tr>
        <w:tc>
          <w:tcPr>
            <w:tcW w:type="dxa" w:w="17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8C3B35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RESIDUAL RISK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EEEE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8C3B35"/>
                <w:sz w:val="17"/>
              </w:rPr>
              <w:t>ADMIN$, C$, and IPC$ remain available. In a production environment, access should be limited to approved management hosts through firewall and administrative controls.</w:t>
            </w:r>
          </w:p>
        </w:tc>
      </w:tr>
    </w:tbl>
    <w:p>
      <w:r>
        <w:br w:type="page"/>
      </w:r>
    </w:p>
    <w:p>
      <w:pPr>
        <w:keepNext/>
        <w:spacing w:before="160" w:after="80"/>
        <w:pBdr>
          <w:bottom w:val="single" w:sz="6" w:space="5" w:color="B08D57"/>
        </w:pBdr>
      </w:pPr>
      <w:r>
        <w:rPr>
          <w:rFonts w:ascii="Cambria" w:hAnsi="Cambria"/>
          <w:b/>
          <w:color w:val="1E3557"/>
          <w:sz w:val="28"/>
        </w:rPr>
        <w:t>Logging and Telemetry Health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24"/>
        <w:gridCol w:w="4939"/>
      </w:tblGrid>
      <w:tr>
        <w:tc>
          <w:tcPr>
            <w:tcW w:type="dxa" w:w="49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44368" cy="1581473"/>
                  <wp:docPr id="16" name="Picture 16" descr="WIN11-01 PowerShell showing Sysmon64 and SplunkForwarder services running." title="WIN11-01 PowerShell showing Sysmon64 and SplunkForwarder services running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Sysmon&amp;SplunkForwarder-Service-Running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368" cy="1581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3233420"/>
                  <wp:docPr id="17" name="Picture 17" descr="WIN11-01 Sysmon Operational log showing recent Event ID 1 and Event ID 11 records." title="WIN11-01 Sysmon Operational log showing recent Event ID 1 and Event ID 11 record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Sysmon-Live-Event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3233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i/>
                <w:color w:val="657786"/>
                <w:sz w:val="14"/>
              </w:rPr>
              <w:t>Figure 13. Sysmon and SplunkForwarder services running.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i/>
                <w:color w:val="657786"/>
                <w:sz w:val="14"/>
              </w:rPr>
              <w:t>Figure 14. Live Sysmon events on WIN11-01.</w:t>
            </w:r>
          </w:p>
        </w:tc>
      </w:tr>
    </w:tbl>
    <w:p>
      <w:pPr>
        <w:keepNext/>
        <w:spacing w:before="100" w:after="80"/>
      </w:pPr>
      <w:r>
        <w:rPr>
          <w:rFonts w:ascii="Cambria" w:hAnsi="Cambria"/>
          <w:b/>
          <w:color w:val="38577D"/>
          <w:sz w:val="22"/>
        </w:rPr>
        <w:t>Security Log Ingestion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88995"/>
            <wp:docPr id="18" name="Picture 18" descr="Splunk search showing recent Windows Security events from WIN11-01." title="Splunk search showing recent Windows Security events from WIN11-0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ecurity-Logs-Receiv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Arial" w:hAnsi="Arial"/>
          <w:i/>
          <w:color w:val="657786"/>
          <w:sz w:val="15"/>
        </w:rPr>
        <w:t>Figure 15. Windows Security logs continue to arrive in Splunk after hardening.</w:t>
      </w:r>
    </w:p>
    <w:p>
      <w:r>
        <w:br w:type="page"/>
      </w:r>
    </w:p>
    <w:p>
      <w:pPr>
        <w:keepNext/>
        <w:spacing w:before="160" w:after="80"/>
        <w:pBdr>
          <w:bottom w:val="single" w:sz="6" w:space="5" w:color="B08D57"/>
        </w:pBdr>
      </w:pPr>
      <w:r>
        <w:rPr>
          <w:rFonts w:ascii="Cambria" w:hAnsi="Cambria"/>
          <w:b/>
          <w:color w:val="1E3557"/>
          <w:sz w:val="28"/>
        </w:rPr>
        <w:t>SIEM Detection Readiness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45872"/>
            <wp:docPr id="19" name="Picture 19" descr="Splunk search showing recent Sysmon events from WIN11-01 with the XML Sysmon sourcetype." title="Splunk search showing recent Sysmon events from WIN11-01 with the XML Sysmon sourcetyp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Sysmon-Logs-Receiv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5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Arial" w:hAnsi="Arial"/>
          <w:i/>
          <w:color w:val="657786"/>
          <w:sz w:val="15"/>
        </w:rPr>
        <w:t>Figure 16. Sysmon logs are received and searchable in Splunk.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5256"/>
      </w:tblGrid>
      <w:t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111829"/>
                  <wp:docPr id="20" name="Picture 20" descr="Splunk alert list showing Brute Force Detection enabled." title="Splunk alert list showing Brute Force Detection enabled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-BruteForce-Alert-Enable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1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54679" cy="1694880"/>
                  <wp:docPr id="21" name="Picture 21" descr="SOC dashboard showing failed and successful logon panels populated." title="SOC dashboard showing failed and successful logon panels populated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-SOC-Dashboard-Healthy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79" cy="1694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i/>
                <w:color w:val="657786"/>
                <w:sz w:val="14"/>
              </w:rPr>
              <w:t>Figure 17. Brute Force Detection alert enabled.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i/>
                <w:color w:val="657786"/>
                <w:sz w:val="14"/>
              </w:rPr>
              <w:t>Figure 18. SOC monitoring dashboard healthy.</w:t>
            </w:r>
          </w:p>
        </w:tc>
      </w:tr>
    </w:tbl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756"/>
        <w:gridCol w:w="8107"/>
      </w:tblGrid>
      <w:tr>
        <w:tc>
          <w:tcPr>
            <w:tcW w:type="dxa" w:w="17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2E6B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VALIDATION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4EF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2E6B52"/>
                <w:sz w:val="17"/>
              </w:rPr>
              <w:t>The log pipeline, scheduled alert, and dashboard remained operational after the host and account-policy changes.</w:t>
            </w:r>
          </w:p>
        </w:tc>
      </w:tr>
    </w:tbl>
    <w:p>
      <w:r>
        <w:br w:type="page"/>
      </w:r>
    </w:p>
    <w:p>
      <w:pPr>
        <w:keepNext/>
        <w:spacing w:before="160" w:after="80"/>
        <w:pBdr>
          <w:bottom w:val="single" w:sz="6" w:space="5" w:color="B08D57"/>
        </w:pBdr>
      </w:pPr>
      <w:r>
        <w:rPr>
          <w:rFonts w:ascii="Cambria" w:hAnsi="Cambria"/>
          <w:b/>
          <w:color w:val="1E3557"/>
          <w:sz w:val="28"/>
        </w:rPr>
        <w:t>Final NetExec Validation</w:t>
      </w:r>
    </w:p>
    <w:p>
      <w:pPr>
        <w:spacing w:after="80" w:line="259" w:lineRule="auto"/>
      </w:pPr>
      <w:r>
        <w:rPr>
          <w:rFonts w:ascii="Arial" w:hAnsi="Arial"/>
          <w:color w:val="1F2933"/>
          <w:sz w:val="19"/>
        </w:rPr>
        <w:t>KALI-01 repeated an authorized SMB authentication test against WIN11-01 using local authentication. NetExec identified Windows 11 with SMB signing enabled and returned STATUS_ACCOUNT_LOCKED_OUT for the local Administrator account. Several SMB/NetBIOS timeout messages were also present, but no successful authentication marker appeared.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2707492"/>
            <wp:docPr id="22" name="Picture 22" descr="NetExec terminal output showing SMB signing true, multiple timeouts, and STATUS_ACCOUNT_LOCKED_OUT for WIN11-01 local Administrator." title="NetExec terminal output showing SMB signing true, multiple timeouts, and STATUS_ACCOUNT_LOCKED_OUT for WIN11-01 local Administrat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NetExec-Block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0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Arial" w:hAnsi="Arial"/>
          <w:i/>
          <w:color w:val="657786"/>
          <w:sz w:val="15"/>
        </w:rPr>
        <w:t>Figure 19. NetExec receives STATUS_ACCOUNT_LOCKED_OUT; no successful authentication is shown.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756"/>
        <w:gridCol w:w="8107"/>
      </w:tblGrid>
      <w:tr>
        <w:tc>
          <w:tcPr>
            <w:tcW w:type="dxa" w:w="17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2E6B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4EF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2E6B52"/>
                <w:sz w:val="17"/>
              </w:rPr>
              <w:t>PASSED — the lockout control prevented authenticated access during the final validation.</w:t>
            </w:r>
          </w:p>
        </w:tc>
      </w:tr>
    </w:tbl>
    <w:p>
      <w:pPr>
        <w:keepNext/>
        <w:spacing w:before="100" w:after="80"/>
      </w:pPr>
      <w:r>
        <w:rPr>
          <w:rFonts w:ascii="Cambria" w:hAnsi="Cambria"/>
          <w:b/>
          <w:color w:val="38577D"/>
          <w:sz w:val="22"/>
        </w:rPr>
        <w:t>Validation Scope</w:t>
      </w:r>
    </w:p>
    <w:p>
      <w:pPr>
        <w:spacing w:after="80" w:line="259" w:lineRule="auto"/>
      </w:pPr>
      <w:r>
        <w:rPr>
          <w:rFonts w:ascii="Arial" w:hAnsi="Arial"/>
          <w:color w:val="1F2933"/>
          <w:sz w:val="19"/>
        </w:rPr>
        <w:t>In Phase 9, testing focused on localadmin. The final NetExec check used the local Administrator account with --local-auth. This confirms that the local account-lockout policy is enforced. The Splunk evidence below separately documents post-hardening failures for localadmin and confirms that no later successful localadmin network logon was recorded.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240"/>
        <w:gridCol w:w="3528"/>
      </w:tblGrid>
      <w:tr>
        <w:trPr>
          <w:tblHeader w:val="true"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E355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Validation point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E355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Before hardening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E355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After hardening</w:t>
            </w:r>
          </w:p>
        </w:tc>
      </w:tr>
      <w:tr>
        <w:tc>
          <w:tcPr>
            <w:tcW w:type="dxa" w:w="309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5"/>
              </w:rPr>
              <w:t>Authentication outcome</w:t>
            </w:r>
          </w:p>
        </w:tc>
        <w:tc>
          <w:tcPr>
            <w:tcW w:type="dxa" w:w="32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Four successful localadmin logons</w:t>
            </w:r>
          </w:p>
        </w:tc>
        <w:tc>
          <w:tcPr>
            <w:tcW w:type="dxa" w:w="35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Administrator locked; no NetExec success</w:t>
            </w:r>
          </w:p>
        </w:tc>
      </w:tr>
      <w:tr>
        <w:tc>
          <w:tcPr>
            <w:tcW w:type="dxa" w:w="3096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5"/>
              </w:rPr>
              <w:t>Lockout event</w:t>
            </w:r>
          </w:p>
        </w:tc>
        <w:tc>
          <w:tcPr>
            <w:tcW w:type="dxa" w:w="3240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Not enforced</w:t>
            </w:r>
          </w:p>
        </w:tc>
        <w:tc>
          <w:tcPr>
            <w:tcW w:type="dxa" w:w="3528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Event ID 4740 recorded</w:t>
            </w:r>
          </w:p>
        </w:tc>
      </w:tr>
      <w:tr>
        <w:tc>
          <w:tcPr>
            <w:tcW w:type="dxa" w:w="309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5"/>
              </w:rPr>
              <w:t>Failed logons</w:t>
            </w:r>
          </w:p>
        </w:tc>
        <w:tc>
          <w:tcPr>
            <w:tcW w:type="dxa" w:w="32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Detected</w:t>
            </w:r>
          </w:p>
        </w:tc>
        <w:tc>
          <w:tcPr>
            <w:tcW w:type="dxa" w:w="35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Detected after hardening</w:t>
            </w:r>
          </w:p>
        </w:tc>
      </w:tr>
      <w:tr>
        <w:tc>
          <w:tcPr>
            <w:tcW w:type="dxa" w:w="3096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5"/>
              </w:rPr>
              <w:t>Monitoring</w:t>
            </w:r>
          </w:p>
        </w:tc>
        <w:tc>
          <w:tcPr>
            <w:tcW w:type="dxa" w:w="3240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Operational</w:t>
            </w:r>
          </w:p>
        </w:tc>
        <w:tc>
          <w:tcPr>
            <w:tcW w:type="dxa" w:w="3528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5"/>
              </w:rPr>
              <w:t>Remained operational</w:t>
            </w:r>
          </w:p>
        </w:tc>
      </w:tr>
    </w:tbl>
    <w:p>
      <w:r>
        <w:br w:type="page"/>
      </w:r>
    </w:p>
    <w:p>
      <w:pPr>
        <w:keepNext/>
        <w:spacing w:before="160" w:after="80"/>
        <w:pBdr>
          <w:bottom w:val="single" w:sz="6" w:space="5" w:color="B08D57"/>
        </w:pBdr>
      </w:pPr>
      <w:r>
        <w:rPr>
          <w:rFonts w:ascii="Cambria" w:hAnsi="Cambria"/>
          <w:b/>
          <w:color w:val="1E3557"/>
          <w:sz w:val="28"/>
        </w:rPr>
        <w:t>Splunk Validation After Hardening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24"/>
        <w:gridCol w:w="4939"/>
      </w:tblGrid>
      <w:tr>
        <w:tc>
          <w:tcPr>
            <w:tcW w:type="dxa" w:w="49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44368" cy="2139011"/>
                  <wp:docPr id="23" name="Picture 23" descr="Splunk table showing 25 localadmin Event ID 4625 failures from 192.168.10.30 after hardening." title="Splunk table showing 25 localadmin Event ID 4625 failures from 192.168.10.30 after hardening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-4625-After-Hardening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368" cy="21390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3512" cy="2230395"/>
                  <wp:docPr id="24" name="Picture 24" descr="Splunk result showing one Windows Security Event ID 4740 account lockout on WIN11-01." title="Splunk result showing one Windows Security Event ID 4740 account lockout on WIN11-01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-Account-Lockout-Even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12" cy="2230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i/>
                <w:color w:val="657786"/>
                <w:sz w:val="14"/>
              </w:rPr>
              <w:t>Figure 20. Failed localadmin logons after hardening.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i/>
                <w:color w:val="657786"/>
                <w:sz w:val="14"/>
              </w:rPr>
              <w:t>Figure 21. Account-lockout event recorded.</w:t>
            </w:r>
          </w:p>
        </w:tc>
      </w:tr>
    </w:tbl>
    <w:p>
      <w:pPr>
        <w:keepNext/>
        <w:spacing w:before="100" w:after="80"/>
      </w:pPr>
      <w:r>
        <w:rPr>
          <w:rFonts w:ascii="Cambria" w:hAnsi="Cambria"/>
          <w:b/>
          <w:color w:val="38577D"/>
          <w:sz w:val="22"/>
        </w:rPr>
        <w:t>Successful Logon Review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800600" cy="3644335"/>
            <wp:docPr id="25" name="Picture 25" descr="Splunk all-time localadmin Event ID 4624 results sorted newest first, with latest success at 10:34:55 before the hardening validation window." title="Splunk all-time localadmin Event ID 4624 results sorted newest first, with latest success at 10:34:55 before the hardening validation wind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No-Successful-Log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Arial" w:hAnsi="Arial"/>
          <w:i/>
          <w:color w:val="657786"/>
          <w:sz w:val="15"/>
        </w:rPr>
        <w:t>Figure 22. No new localadmin Event ID 4624 appears after hardening; the newest listed success remains 10:34:55.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756"/>
        <w:gridCol w:w="8107"/>
      </w:tblGrid>
      <w:tr>
        <w:tc>
          <w:tcPr>
            <w:tcW w:type="dxa" w:w="17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E355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EVIDENCE NOTE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2F6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E3557"/>
                <w:sz w:val="17"/>
              </w:rPr>
              <w:t>The screenshots document separate validation steps. The 4625 search covers localadmin failures, the NetExec test covers Administrator, and Event ID 4740 confirms that WIN11-01 enforced account lockout. Together they show the control working across the host without presenting them as one continuous command sequence.</w:t>
            </w:r>
          </w:p>
        </w:tc>
      </w:tr>
    </w:tbl>
    <w:p>
      <w:r>
        <w:br w:type="page"/>
      </w:r>
    </w:p>
    <w:p>
      <w:pPr>
        <w:keepNext/>
        <w:spacing w:before="160" w:after="80"/>
        <w:pBdr>
          <w:bottom w:val="single" w:sz="6" w:space="5" w:color="B08D57"/>
        </w:pBdr>
      </w:pPr>
      <w:r>
        <w:rPr>
          <w:rFonts w:ascii="Cambria" w:hAnsi="Cambria"/>
          <w:b/>
          <w:color w:val="1E3557"/>
          <w:sz w:val="28"/>
        </w:rPr>
        <w:t>Security Assessment and Recommendations</w:t>
      </w:r>
    </w:p>
    <w:p>
      <w:pPr>
        <w:keepNext/>
        <w:spacing w:before="100" w:after="80"/>
      </w:pPr>
      <w:r>
        <w:rPr>
          <w:rFonts w:ascii="Cambria" w:hAnsi="Cambria"/>
          <w:b/>
          <w:color w:val="38577D"/>
          <w:sz w:val="22"/>
        </w:rPr>
        <w:t>Controls Demonstrated</w:t>
      </w:r>
    </w:p>
    <w:p>
      <w:pPr>
        <w:pStyle w:val="ListBullet"/>
        <w:spacing w:after="50" w:line="250" w:lineRule="auto"/>
        <w:ind w:left="331" w:hanging="230"/>
      </w:pPr>
      <w:r>
        <w:rPr>
          <w:rFonts w:ascii="Arial" w:hAnsi="Arial"/>
          <w:color w:val="1F2933"/>
          <w:sz w:val="18"/>
        </w:rPr>
        <w:t>Domain and local account-lockout thresholds set to five attempts with 15-minute duration and observation windows.</w:t>
      </w:r>
    </w:p>
    <w:p>
      <w:pPr>
        <w:pStyle w:val="ListBullet"/>
        <w:spacing w:after="50" w:line="250" w:lineRule="auto"/>
        <w:ind w:left="331" w:hanging="230"/>
      </w:pPr>
      <w:r>
        <w:rPr>
          <w:rFonts w:ascii="Arial" w:hAnsi="Arial"/>
          <w:color w:val="1F2933"/>
          <w:sz w:val="18"/>
        </w:rPr>
        <w:t>SMB1 disabled and SMB server signing required.</w:t>
      </w:r>
    </w:p>
    <w:p>
      <w:pPr>
        <w:pStyle w:val="ListBullet"/>
        <w:spacing w:after="50" w:line="250" w:lineRule="auto"/>
        <w:ind w:left="331" w:hanging="230"/>
      </w:pPr>
      <w:r>
        <w:rPr>
          <w:rFonts w:ascii="Arial" w:hAnsi="Arial"/>
          <w:color w:val="1F2933"/>
          <w:sz w:val="18"/>
        </w:rPr>
        <w:t>RDP disabled and all Windows Firewall profiles enabled with inbound traffic blocked by default.</w:t>
      </w:r>
    </w:p>
    <w:p>
      <w:pPr>
        <w:pStyle w:val="ListBullet"/>
        <w:spacing w:after="50" w:line="250" w:lineRule="auto"/>
        <w:ind w:left="331" w:hanging="230"/>
      </w:pPr>
      <w:r>
        <w:rPr>
          <w:rFonts w:ascii="Arial" w:hAnsi="Arial"/>
          <w:color w:val="1F2933"/>
          <w:sz w:val="18"/>
        </w:rPr>
        <w:t>Sysmon and Splunk Universal Forwarder services healthy, with Security and Sysmon data visible in Splunk.</w:t>
      </w:r>
    </w:p>
    <w:p>
      <w:pPr>
        <w:pStyle w:val="ListBullet"/>
        <w:spacing w:after="50" w:line="250" w:lineRule="auto"/>
        <w:ind w:left="331" w:hanging="230"/>
      </w:pPr>
      <w:r>
        <w:rPr>
          <w:rFonts w:ascii="Arial" w:hAnsi="Arial"/>
          <w:color w:val="1F2933"/>
          <w:sz w:val="18"/>
        </w:rPr>
        <w:t>Brute-force alert enabled and SOC dashboard operational.</w:t>
      </w:r>
    </w:p>
    <w:p>
      <w:pPr>
        <w:pStyle w:val="ListBullet"/>
        <w:spacing w:after="50" w:line="250" w:lineRule="auto"/>
        <w:ind w:left="331" w:hanging="230"/>
      </w:pPr>
      <w:r>
        <w:rPr>
          <w:rFonts w:ascii="Arial" w:hAnsi="Arial"/>
          <w:color w:val="1F2933"/>
          <w:sz w:val="18"/>
        </w:rPr>
        <w:t>NetExec received STATUS_ACCOUNT_LOCKED_OUT and no successful validation authentication was observed.</w:t>
      </w:r>
    </w:p>
    <w:p>
      <w:pPr>
        <w:keepNext/>
        <w:spacing w:before="100" w:after="80"/>
      </w:pPr>
      <w:r>
        <w:rPr>
          <w:rFonts w:ascii="Cambria" w:hAnsi="Cambria"/>
          <w:b/>
          <w:color w:val="38577D"/>
          <w:sz w:val="22"/>
        </w:rPr>
        <w:t>Residual Risks and Limitations</w:t>
      </w:r>
    </w:p>
    <w:p>
      <w:pPr>
        <w:pStyle w:val="ListBullet"/>
        <w:spacing w:after="50" w:line="250" w:lineRule="auto"/>
        <w:ind w:left="331" w:hanging="230"/>
      </w:pPr>
      <w:r>
        <w:rPr>
          <w:rFonts w:ascii="Arial" w:hAnsi="Arial"/>
          <w:color w:val="1F2933"/>
          <w:sz w:val="18"/>
        </w:rPr>
        <w:t>Default administrative shares ADMIN$, C$, and IPC$ remain enabled.</w:t>
      </w:r>
    </w:p>
    <w:p>
      <w:pPr>
        <w:pStyle w:val="ListBullet"/>
        <w:spacing w:after="50" w:line="250" w:lineRule="auto"/>
        <w:ind w:left="331" w:hanging="230"/>
      </w:pPr>
      <w:r>
        <w:rPr>
          <w:rFonts w:ascii="Arial" w:hAnsi="Arial"/>
          <w:color w:val="1F2933"/>
          <w:sz w:val="18"/>
        </w:rPr>
        <w:t>The final NetExec validation used Administrator, while the Phase 9 baseline used localadmin.</w:t>
      </w:r>
    </w:p>
    <w:p>
      <w:pPr>
        <w:pStyle w:val="ListBullet"/>
        <w:spacing w:after="50" w:line="250" w:lineRule="auto"/>
        <w:ind w:left="331" w:hanging="230"/>
      </w:pPr>
      <w:r>
        <w:rPr>
          <w:rFonts w:ascii="Arial" w:hAnsi="Arial"/>
          <w:color w:val="1F2933"/>
          <w:sz w:val="18"/>
        </w:rPr>
        <w:t>The 4740 event predates the final NetExec screenshot and may reflect the earlier manual lockout validation.</w:t>
      </w:r>
    </w:p>
    <w:p>
      <w:pPr>
        <w:pStyle w:val="ListBullet"/>
        <w:spacing w:after="50" w:line="250" w:lineRule="auto"/>
        <w:ind w:left="331" w:hanging="230"/>
      </w:pPr>
      <w:r>
        <w:rPr>
          <w:rFonts w:ascii="Arial" w:hAnsi="Arial"/>
          <w:color w:val="1F2933"/>
          <w:sz w:val="18"/>
        </w:rPr>
        <w:t>The no-success search uses an all-time window; the conclusion depends on the newest displayed 4624 timestamp being earlier than the hardening validation.</w:t>
      </w:r>
    </w:p>
    <w:p>
      <w:pPr>
        <w:pStyle w:val="ListBullet"/>
        <w:spacing w:after="50" w:line="250" w:lineRule="auto"/>
        <w:ind w:left="331" w:hanging="230"/>
      </w:pPr>
      <w:r>
        <w:rPr>
          <w:rFonts w:ascii="Arial" w:hAnsi="Arial"/>
          <w:color w:val="1F2933"/>
          <w:sz w:val="18"/>
        </w:rPr>
        <w:t>Password minimum length remained seven characters and should be increased for a production environment.</w:t>
      </w:r>
    </w:p>
    <w:p>
      <w:pPr>
        <w:keepNext/>
        <w:spacing w:before="100" w:after="80"/>
      </w:pPr>
      <w:r>
        <w:rPr>
          <w:rFonts w:ascii="Cambria" w:hAnsi="Cambria"/>
          <w:b/>
          <w:color w:val="38577D"/>
          <w:sz w:val="22"/>
        </w:rPr>
        <w:t>Recommended Next Improvements</w:t>
      </w:r>
    </w:p>
    <w:p>
      <w:pPr>
        <w:pStyle w:val="ListBullet"/>
        <w:spacing w:after="50" w:line="250" w:lineRule="auto"/>
        <w:ind w:left="331" w:hanging="230"/>
      </w:pPr>
      <w:r>
        <w:rPr>
          <w:rFonts w:ascii="Arial" w:hAnsi="Arial"/>
          <w:color w:val="1F2933"/>
          <w:sz w:val="18"/>
        </w:rPr>
        <w:t>Increase password minimum length to at least 14 characters and use unique service/admin credentials.</w:t>
      </w:r>
    </w:p>
    <w:p>
      <w:pPr>
        <w:pStyle w:val="ListBullet"/>
        <w:spacing w:after="50" w:line="250" w:lineRule="auto"/>
        <w:ind w:left="331" w:hanging="230"/>
      </w:pPr>
      <w:r>
        <w:rPr>
          <w:rFonts w:ascii="Arial" w:hAnsi="Arial"/>
          <w:color w:val="1F2933"/>
          <w:sz w:val="18"/>
        </w:rPr>
        <w:t>Limit SMB and administrative-share access to approved management hosts or a dedicated administration subnet.</w:t>
      </w:r>
    </w:p>
    <w:p>
      <w:pPr>
        <w:pStyle w:val="ListBullet"/>
        <w:spacing w:after="50" w:line="250" w:lineRule="auto"/>
        <w:ind w:left="331" w:hanging="230"/>
      </w:pPr>
      <w:r>
        <w:rPr>
          <w:rFonts w:ascii="Arial" w:hAnsi="Arial"/>
          <w:color w:val="1F2933"/>
          <w:sz w:val="18"/>
        </w:rPr>
        <w:t>Enable Windows Firewall dropped-packet logging and forward those logs to the SIEM.</w:t>
      </w:r>
    </w:p>
    <w:p>
      <w:pPr>
        <w:pStyle w:val="ListBullet"/>
        <w:spacing w:after="50" w:line="250" w:lineRule="auto"/>
        <w:ind w:left="331" w:hanging="230"/>
      </w:pPr>
      <w:r>
        <w:rPr>
          <w:rFonts w:ascii="Arial" w:hAnsi="Arial"/>
          <w:color w:val="1F2933"/>
          <w:sz w:val="18"/>
        </w:rPr>
        <w:t>Repeat the final validation with localadmin for a strict same-account before/after comparison.</w:t>
      </w:r>
    </w:p>
    <w:p>
      <w:pPr>
        <w:pStyle w:val="ListBullet"/>
        <w:spacing w:after="50" w:line="250" w:lineRule="auto"/>
        <w:ind w:left="331" w:hanging="230"/>
      </w:pPr>
      <w:r>
        <w:rPr>
          <w:rFonts w:ascii="Arial" w:hAnsi="Arial"/>
          <w:color w:val="1F2933"/>
          <w:sz w:val="18"/>
        </w:rPr>
        <w:t>Tune the Splunk alert to correlate failures, lockout, and any later success by host, source IP, and account.</w:t>
      </w:r>
    </w:p>
    <w:p>
      <w:pPr>
        <w:keepNext/>
        <w:spacing w:before="160" w:after="80"/>
        <w:pBdr>
          <w:bottom w:val="single" w:sz="6" w:space="5" w:color="B08D57"/>
        </w:pBdr>
      </w:pPr>
      <w:r>
        <w:rPr>
          <w:rFonts w:ascii="Cambria" w:hAnsi="Cambria"/>
          <w:b/>
          <w:color w:val="1E3557"/>
          <w:sz w:val="28"/>
        </w:rPr>
        <w:t>Final Conclusion</w:t>
      </w:r>
    </w:p>
    <w:p>
      <w:pPr>
        <w:spacing w:after="80" w:line="259" w:lineRule="auto"/>
      </w:pPr>
      <w:r>
        <w:rPr>
          <w:rFonts w:ascii="Arial" w:hAnsi="Arial"/>
          <w:color w:val="1F2933"/>
          <w:sz w:val="19"/>
        </w:rPr>
        <w:t>Phase 10 is complete. The lab preserved a recoverable pre-hardening state, introduced effective lockout controls, verified protocol and host protections, confirmed telemetry health, and demonstrated that the final local-authentication test did not obtain access. The project now covers the complete defensive cycle: build, attack, detect, investigate, harden, and validate.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756"/>
        <w:gridCol w:w="8107"/>
      </w:tblGrid>
      <w:tr>
        <w:tc>
          <w:tcPr>
            <w:tcW w:type="dxa" w:w="17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2E6B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PROJECT STATUS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4EF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2E6B52"/>
                <w:sz w:val="17"/>
              </w:rPr>
              <w:t>SOC Home Lab technical objectives completed. The final evidence set is suitable for academic or portfolio use, with the validation scope clearly documented.</w:t>
            </w:r>
          </w:p>
        </w:tc>
      </w:tr>
    </w:tbl>
    <w:p>
      <w:r>
        <w:br w:type="page"/>
      </w:r>
    </w:p>
    <w:p>
      <w:pPr>
        <w:keepNext/>
        <w:spacing w:before="160" w:after="80"/>
        <w:pBdr>
          <w:bottom w:val="single" w:sz="6" w:space="5" w:color="B08D57"/>
        </w:pBdr>
      </w:pPr>
      <w:r>
        <w:rPr>
          <w:rFonts w:ascii="Cambria" w:hAnsi="Cambria"/>
          <w:b/>
          <w:color w:val="1E3557"/>
          <w:sz w:val="28"/>
        </w:rPr>
        <w:t>Evidence Register</w:t>
      </w:r>
    </w:p>
    <w:p>
      <w:pPr>
        <w:spacing w:after="80" w:line="259" w:lineRule="auto"/>
      </w:pPr>
      <w:r>
        <w:rPr>
          <w:rFonts w:ascii="Arial" w:hAnsi="Arial"/>
          <w:color w:val="1F2933"/>
          <w:sz w:val="19"/>
        </w:rPr>
        <w:t>The filenames below map the submitted evidence to the control or validation point documented in this report. Numbering follows the original evidence package.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5256"/>
        <w:gridCol w:w="3600"/>
      </w:tblGrid>
      <w:tr>
        <w:trPr>
          <w:tblHeader w:val="true"/>
        </w:trP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E355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E355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Evidence file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E355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100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01</w:t>
            </w:r>
          </w:p>
        </w:tc>
        <w:tc>
          <w:tcPr>
            <w:tcW w:type="dxa" w:w="52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DC01 / WIN11 / KALI snapshots</w:t>
            </w:r>
          </w:p>
        </w:tc>
        <w:tc>
          <w:tcPr>
            <w:tcW w:type="dxa" w:w="36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Recovery points</w:t>
            </w:r>
          </w:p>
        </w:tc>
      </w:tr>
      <w:tr>
        <w:tc>
          <w:tcPr>
            <w:tcW w:type="dxa" w:w="1007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02</w:t>
            </w:r>
          </w:p>
        </w:tc>
        <w:tc>
          <w:tcPr>
            <w:tcW w:type="dxa" w:w="5256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Domain-Policy-Before-Hardening</w:t>
            </w:r>
          </w:p>
        </w:tc>
        <w:tc>
          <w:tcPr>
            <w:tcW w:type="dxa" w:w="3600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Domain baseline</w:t>
            </w:r>
          </w:p>
        </w:tc>
      </w:tr>
      <w:tr>
        <w:tc>
          <w:tcPr>
            <w:tcW w:type="dxa" w:w="100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03</w:t>
            </w:r>
          </w:p>
        </w:tc>
        <w:tc>
          <w:tcPr>
            <w:tcW w:type="dxa" w:w="52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Local-Account-Policy-Before</w:t>
            </w:r>
          </w:p>
        </w:tc>
        <w:tc>
          <w:tcPr>
            <w:tcW w:type="dxa" w:w="36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Local baseline</w:t>
            </w:r>
          </w:p>
        </w:tc>
      </w:tr>
      <w:tr>
        <w:tc>
          <w:tcPr>
            <w:tcW w:type="dxa" w:w="1007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04</w:t>
            </w:r>
          </w:p>
        </w:tc>
        <w:tc>
          <w:tcPr>
            <w:tcW w:type="dxa" w:w="5256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SMB-Configuration-Before</w:t>
            </w:r>
          </w:p>
        </w:tc>
        <w:tc>
          <w:tcPr>
            <w:tcW w:type="dxa" w:w="3600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SMB baseline</w:t>
            </w:r>
          </w:p>
        </w:tc>
      </w:tr>
      <w:tr>
        <w:tc>
          <w:tcPr>
            <w:tcW w:type="dxa" w:w="100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05</w:t>
            </w:r>
          </w:p>
        </w:tc>
        <w:tc>
          <w:tcPr>
            <w:tcW w:type="dxa" w:w="52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Domain-Lockout-Policy-After</w:t>
            </w:r>
          </w:p>
        </w:tc>
        <w:tc>
          <w:tcPr>
            <w:tcW w:type="dxa" w:w="36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Domain lockout</w:t>
            </w:r>
          </w:p>
        </w:tc>
      </w:tr>
      <w:tr>
        <w:tc>
          <w:tcPr>
            <w:tcW w:type="dxa" w:w="1007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06</w:t>
            </w:r>
          </w:p>
        </w:tc>
        <w:tc>
          <w:tcPr>
            <w:tcW w:type="dxa" w:w="5256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LocalAdmin-Status</w:t>
            </w:r>
          </w:p>
        </w:tc>
        <w:tc>
          <w:tcPr>
            <w:tcW w:type="dxa" w:w="3600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Account state</w:t>
            </w:r>
          </w:p>
        </w:tc>
      </w:tr>
      <w:tr>
        <w:tc>
          <w:tcPr>
            <w:tcW w:type="dxa" w:w="100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07</w:t>
            </w:r>
          </w:p>
        </w:tc>
        <w:tc>
          <w:tcPr>
            <w:tcW w:type="dxa" w:w="52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Local-Lockout-Policy-After</w:t>
            </w:r>
          </w:p>
        </w:tc>
        <w:tc>
          <w:tcPr>
            <w:tcW w:type="dxa" w:w="36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Local lockout</w:t>
            </w:r>
          </w:p>
        </w:tc>
      </w:tr>
      <w:tr>
        <w:tc>
          <w:tcPr>
            <w:tcW w:type="dxa" w:w="1007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08</w:t>
            </w:r>
          </w:p>
        </w:tc>
        <w:tc>
          <w:tcPr>
            <w:tcW w:type="dxa" w:w="5256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Domain-Password-Policy-After</w:t>
            </w:r>
          </w:p>
        </w:tc>
        <w:tc>
          <w:tcPr>
            <w:tcW w:type="dxa" w:w="3600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Domain verification</w:t>
            </w:r>
          </w:p>
        </w:tc>
      </w:tr>
      <w:tr>
        <w:tc>
          <w:tcPr>
            <w:tcW w:type="dxa" w:w="100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09</w:t>
            </w:r>
          </w:p>
        </w:tc>
        <w:tc>
          <w:tcPr>
            <w:tcW w:type="dxa" w:w="52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SMB-Hardening</w:t>
            </w:r>
          </w:p>
        </w:tc>
        <w:tc>
          <w:tcPr>
            <w:tcW w:type="dxa" w:w="36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SMB verification</w:t>
            </w:r>
          </w:p>
        </w:tc>
      </w:tr>
      <w:tr>
        <w:tc>
          <w:tcPr>
            <w:tcW w:type="dxa" w:w="1007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10</w:t>
            </w:r>
          </w:p>
        </w:tc>
        <w:tc>
          <w:tcPr>
            <w:tcW w:type="dxa" w:w="5256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SMB1-Disabled</w:t>
            </w:r>
          </w:p>
        </w:tc>
        <w:tc>
          <w:tcPr>
            <w:tcW w:type="dxa" w:w="3600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Legacy protocol disabled</w:t>
            </w:r>
          </w:p>
        </w:tc>
      </w:tr>
      <w:tr>
        <w:tc>
          <w:tcPr>
            <w:tcW w:type="dxa" w:w="100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11</w:t>
            </w:r>
          </w:p>
        </w:tc>
        <w:tc>
          <w:tcPr>
            <w:tcW w:type="dxa" w:w="52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RDP-Disabled</w:t>
            </w:r>
          </w:p>
        </w:tc>
        <w:tc>
          <w:tcPr>
            <w:tcW w:type="dxa" w:w="36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Remote-access reduction</w:t>
            </w:r>
          </w:p>
        </w:tc>
      </w:tr>
      <w:tr>
        <w:tc>
          <w:tcPr>
            <w:tcW w:type="dxa" w:w="1007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12</w:t>
            </w:r>
          </w:p>
        </w:tc>
        <w:tc>
          <w:tcPr>
            <w:tcW w:type="dxa" w:w="5256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Firewall-Enabled</w:t>
            </w:r>
          </w:p>
        </w:tc>
        <w:tc>
          <w:tcPr>
            <w:tcW w:type="dxa" w:w="3600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Host firewall</w:t>
            </w:r>
          </w:p>
        </w:tc>
      </w:tr>
      <w:tr>
        <w:tc>
          <w:tcPr>
            <w:tcW w:type="dxa" w:w="100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13</w:t>
            </w:r>
          </w:p>
        </w:tc>
        <w:tc>
          <w:tcPr>
            <w:tcW w:type="dxa" w:w="52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Administrative-Shares</w:t>
            </w:r>
          </w:p>
        </w:tc>
        <w:tc>
          <w:tcPr>
            <w:tcW w:type="dxa" w:w="36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Residual exposure</w:t>
            </w:r>
          </w:p>
        </w:tc>
      </w:tr>
      <w:tr>
        <w:tc>
          <w:tcPr>
            <w:tcW w:type="dxa" w:w="1007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14</w:t>
            </w:r>
          </w:p>
        </w:tc>
        <w:tc>
          <w:tcPr>
            <w:tcW w:type="dxa" w:w="5256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Sysmon &amp; Forwarder Services</w:t>
            </w:r>
          </w:p>
        </w:tc>
        <w:tc>
          <w:tcPr>
            <w:tcW w:type="dxa" w:w="3600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Service health</w:t>
            </w:r>
          </w:p>
        </w:tc>
      </w:tr>
      <w:tr>
        <w:tc>
          <w:tcPr>
            <w:tcW w:type="dxa" w:w="100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16</w:t>
            </w:r>
          </w:p>
        </w:tc>
        <w:tc>
          <w:tcPr>
            <w:tcW w:type="dxa" w:w="52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Sysmon-Live-Events</w:t>
            </w:r>
          </w:p>
        </w:tc>
        <w:tc>
          <w:tcPr>
            <w:tcW w:type="dxa" w:w="36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Local telemetry</w:t>
            </w:r>
          </w:p>
        </w:tc>
      </w:tr>
      <w:tr>
        <w:tc>
          <w:tcPr>
            <w:tcW w:type="dxa" w:w="1007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17</w:t>
            </w:r>
          </w:p>
        </w:tc>
        <w:tc>
          <w:tcPr>
            <w:tcW w:type="dxa" w:w="5256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Security-Logs-Received</w:t>
            </w:r>
          </w:p>
        </w:tc>
        <w:tc>
          <w:tcPr>
            <w:tcW w:type="dxa" w:w="3600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Security ingestion</w:t>
            </w:r>
          </w:p>
        </w:tc>
      </w:tr>
      <w:tr>
        <w:tc>
          <w:tcPr>
            <w:tcW w:type="dxa" w:w="100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18</w:t>
            </w:r>
          </w:p>
        </w:tc>
        <w:tc>
          <w:tcPr>
            <w:tcW w:type="dxa" w:w="52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Sysmon-Logs-Received</w:t>
            </w:r>
          </w:p>
        </w:tc>
        <w:tc>
          <w:tcPr>
            <w:tcW w:type="dxa" w:w="36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Sysmon ingestion</w:t>
            </w:r>
          </w:p>
        </w:tc>
      </w:tr>
      <w:tr>
        <w:tc>
          <w:tcPr>
            <w:tcW w:type="dxa" w:w="1007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19</w:t>
            </w:r>
          </w:p>
        </w:tc>
        <w:tc>
          <w:tcPr>
            <w:tcW w:type="dxa" w:w="5256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BruteForce-Alert-Enabled</w:t>
            </w:r>
          </w:p>
        </w:tc>
        <w:tc>
          <w:tcPr>
            <w:tcW w:type="dxa" w:w="3600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Detection readiness</w:t>
            </w:r>
          </w:p>
        </w:tc>
      </w:tr>
      <w:tr>
        <w:tc>
          <w:tcPr>
            <w:tcW w:type="dxa" w:w="100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20</w:t>
            </w:r>
          </w:p>
        </w:tc>
        <w:tc>
          <w:tcPr>
            <w:tcW w:type="dxa" w:w="52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SOC-Dashboard-Healthy</w:t>
            </w:r>
          </w:p>
        </w:tc>
        <w:tc>
          <w:tcPr>
            <w:tcW w:type="dxa" w:w="36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Monitoring health</w:t>
            </w:r>
          </w:p>
        </w:tc>
      </w:tr>
      <w:tr>
        <w:tc>
          <w:tcPr>
            <w:tcW w:type="dxa" w:w="1007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21</w:t>
            </w:r>
          </w:p>
        </w:tc>
        <w:tc>
          <w:tcPr>
            <w:tcW w:type="dxa" w:w="5256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NetExec-Blocked</w:t>
            </w:r>
          </w:p>
        </w:tc>
        <w:tc>
          <w:tcPr>
            <w:tcW w:type="dxa" w:w="3600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Final attack validation</w:t>
            </w:r>
          </w:p>
        </w:tc>
      </w:tr>
      <w:tr>
        <w:tc>
          <w:tcPr>
            <w:tcW w:type="dxa" w:w="100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23</w:t>
            </w:r>
          </w:p>
        </w:tc>
        <w:tc>
          <w:tcPr>
            <w:tcW w:type="dxa" w:w="52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4625-After-Hardening</w:t>
            </w:r>
          </w:p>
        </w:tc>
        <w:tc>
          <w:tcPr>
            <w:tcW w:type="dxa" w:w="36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Failed logons</w:t>
            </w:r>
          </w:p>
        </w:tc>
      </w:tr>
      <w:tr>
        <w:tc>
          <w:tcPr>
            <w:tcW w:type="dxa" w:w="1007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24</w:t>
            </w:r>
          </w:p>
        </w:tc>
        <w:tc>
          <w:tcPr>
            <w:tcW w:type="dxa" w:w="5256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Account-Lockout-Event</w:t>
            </w:r>
          </w:p>
        </w:tc>
        <w:tc>
          <w:tcPr>
            <w:tcW w:type="dxa" w:w="3600"/>
            <w:shd w:fill="F4F4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Event ID 4740</w:t>
            </w:r>
          </w:p>
        </w:tc>
      </w:tr>
      <w:tr>
        <w:tc>
          <w:tcPr>
            <w:tcW w:type="dxa" w:w="100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2933"/>
                <w:sz w:val="14"/>
              </w:rPr>
              <w:t>25</w:t>
            </w:r>
          </w:p>
        </w:tc>
        <w:tc>
          <w:tcPr>
            <w:tcW w:type="dxa" w:w="52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F2933"/>
                <w:sz w:val="14"/>
              </w:rPr>
              <w:t>No-Successful-Logon</w:t>
            </w:r>
          </w:p>
        </w:tc>
        <w:tc>
          <w:tcPr>
            <w:tcW w:type="dxa" w:w="36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2933"/>
                <w:sz w:val="14"/>
              </w:rPr>
              <w:t>No later localadmin 4624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93" w:right="1008" w:bottom="893" w:left="1008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864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992"/>
      <w:gridCol w:w="1872"/>
    </w:tblGrid>
    <w:tr>
      <w:tc>
        <w:tcPr>
          <w:tcW w:type="dxa" w:w="7992"/>
          <w:tcMar>
            <w:top w:w="80" w:type="dxa"/>
            <w:start w:w="100" w:type="dxa"/>
            <w:bottom w:w="80" w:type="dxa"/>
            <w:end w:w="100" w:type="dxa"/>
          </w:tcMar>
          <w:vAlign w:val="center"/>
        </w:tcPr>
        <w:p>
          <w:pPr>
            <w:spacing w:after="0"/>
            <w:jc w:val="left"/>
          </w:pPr>
          <w:r>
            <w:rPr>
              <w:rFonts w:ascii="Arial" w:hAnsi="Arial"/>
              <w:b w:val="0"/>
              <w:color w:val="657786"/>
              <w:sz w:val="15"/>
            </w:rPr>
            <w:t>HARDENING VALIDATION REPORT  •  Internal Lab Exercise</w:t>
          </w:r>
        </w:p>
      </w:tc>
      <w:tc>
        <w:tcPr>
          <w:tcW w:type="dxa" w:w="1872"/>
          <w:tcMar>
            <w:top w:w="80" w:type="dxa"/>
            <w:start w:w="100" w:type="dxa"/>
            <w:bottom w:w="80" w:type="dxa"/>
            <w:end w:w="100" w:type="dxa"/>
          </w:tcMar>
          <w:vAlign w:val="center"/>
        </w:tcPr>
        <w:p>
          <w:pPr>
            <w:jc w:val="right"/>
          </w:pPr>
          <w:r>
            <w:rPr>
              <w:rFonts w:ascii="Arial" w:hAnsi="Arial"/>
              <w:color w:val="657786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mbria" w:hAnsi="Cambria"/>
        <w:b/>
        <w:color w:val="657786"/>
        <w:sz w:val="14"/>
      </w:rPr>
      <w:t>INCIDENT RESPONSE  /  SOC HOME LAB  /  PHASE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10 Hardening Validation Report</dc:title>
  <dc:subject>SOC Home Lab Hardening and Validation</dc:subject>
  <dc:creator>SOC Home Lab</dc:creator>
  <cp:keywords>SOC, Splunk, Sysmon, NetExec, hardening, validation, account lockout</cp:keywords>
  <dc:description>Phase 10 hardening and validation evidence report.</dc:description>
  <cp:lastModifiedBy>SOC Home Lab</cp:lastModifiedBy>
  <cp:revision>1</cp:revision>
  <dcterms:created xsi:type="dcterms:W3CDTF">2013-12-23T23:15:00Z</dcterms:created>
  <dcterms:modified xsi:type="dcterms:W3CDTF">2013-12-23T23:15:00Z</dcterms:modified>
  <cp:category/>
</cp:coreProperties>
</file>