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partaet-eks-patching-incident"/>
    <w:p>
      <w:pPr>
        <w:pStyle w:val="Heading1"/>
      </w:pPr>
      <w:r>
        <w:t xml:space="preserve">SpartaET EKS Patching Incident</w:t>
      </w:r>
    </w:p>
    <w:p>
      <w:pPr>
        <w:pStyle w:val="FirstParagraph"/>
      </w:pPr>
      <w:r>
        <w:rPr>
          <w:b/>
          <w:bCs/>
        </w:rPr>
        <w:t xml:space="preserve">Patching Event Date:</w:t>
      </w:r>
      <w:r>
        <w:t xml:space="preserve"> </w:t>
      </w:r>
      <w:r>
        <w:t xml:space="preserve">March 10, 2026</w:t>
      </w:r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During patching, SpartaET did not recover as expected after nodes were cordoned and drained. Replacement nodes were unable to come online successfully, preventing workloads from being rescheduled.</w:t>
      </w:r>
    </w:p>
    <w:bookmarkStart w:id="9" w:name="impacted-environment"/>
    <w:p>
      <w:pPr>
        <w:pStyle w:val="Heading3"/>
      </w:pPr>
      <w:r>
        <w:t xml:space="preserve">Impacted Environment</w:t>
      </w:r>
    </w:p>
    <w:p>
      <w:pPr>
        <w:pStyle w:val="Compact"/>
        <w:numPr>
          <w:ilvl w:val="0"/>
          <w:numId w:val="1001"/>
        </w:numPr>
      </w:pPr>
      <w:r>
        <w:t xml:space="preserve">Sparta-ET</w:t>
      </w:r>
    </w:p>
    <w:bookmarkEnd w:id="9"/>
    <w:bookmarkStart w:id="10" w:name="not-impacted"/>
    <w:p>
      <w:pPr>
        <w:pStyle w:val="Heading3"/>
      </w:pPr>
      <w:r>
        <w:t xml:space="preserve">Not Impacted</w:t>
      </w:r>
    </w:p>
    <w:p>
      <w:pPr>
        <w:pStyle w:val="Compact"/>
        <w:numPr>
          <w:ilvl w:val="0"/>
          <w:numId w:val="1002"/>
        </w:numPr>
      </w:pPr>
      <w:r>
        <w:t xml:space="preserve">Sparta</w:t>
      </w:r>
    </w:p>
    <w:p>
      <w:pPr>
        <w:pStyle w:val="Compact"/>
        <w:numPr>
          <w:ilvl w:val="0"/>
          <w:numId w:val="1002"/>
        </w:numPr>
      </w:pPr>
      <w:r>
        <w:t xml:space="preserve">Sparta-Staging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environment-snapshot"/>
    <w:p>
      <w:pPr>
        <w:pStyle w:val="Heading2"/>
      </w:pPr>
      <w:r>
        <w:t xml:space="preserve">Environment Snapshot</w:t>
      </w:r>
    </w:p>
    <w:p>
      <w:pPr>
        <w:pStyle w:val="Compact"/>
        <w:numPr>
          <w:ilvl w:val="0"/>
          <w:numId w:val="1003"/>
        </w:numPr>
      </w:pPr>
      <w:r>
        <w:t xml:space="preserve">Sparta-Staging: ~40 pods / 4 nodes</w:t>
      </w:r>
    </w:p>
    <w:p>
      <w:pPr>
        <w:pStyle w:val="Compact"/>
        <w:numPr>
          <w:ilvl w:val="0"/>
          <w:numId w:val="1003"/>
        </w:numPr>
      </w:pPr>
      <w:r>
        <w:t xml:space="preserve">Sparta-ET: 500+ pods / 33 nodes</w:t>
      </w:r>
    </w:p>
    <w:p>
      <w:pPr>
        <w:pStyle w:val="Compact"/>
        <w:numPr>
          <w:ilvl w:val="0"/>
          <w:numId w:val="1003"/>
        </w:numPr>
      </w:pPr>
      <w:r>
        <w:t xml:space="preserve">Sparta: 422 pods / 19 nodes</w:t>
      </w:r>
    </w:p>
    <w:p>
      <w:r>
        <w:pict>
          <v:rect style="width:0;height:1.5pt" o:hralign="center" o:hrstd="t" o:hr="t"/>
        </w:pict>
      </w:r>
    </w:p>
    <w:bookmarkEnd w:id="12"/>
    <w:bookmarkStart w:id="14" w:name="infrastructure-layout"/>
    <w:p>
      <w:pPr>
        <w:pStyle w:val="Heading2"/>
      </w:pPr>
      <w:r>
        <w:t xml:space="preserve">Infrastructure Layout</w:t>
      </w:r>
    </w:p>
    <w:p>
      <w:pPr>
        <w:pStyle w:val="Compact"/>
        <w:numPr>
          <w:ilvl w:val="0"/>
          <w:numId w:val="1004"/>
        </w:numPr>
      </w:pPr>
      <w:r>
        <w:t xml:space="preserve">Single AWS account</w:t>
      </w:r>
    </w:p>
    <w:p>
      <w:pPr>
        <w:pStyle w:val="Compact"/>
        <w:numPr>
          <w:ilvl w:val="0"/>
          <w:numId w:val="1004"/>
        </w:numPr>
      </w:pPr>
      <w:r>
        <w:t xml:space="preserve">Two VPCs:</w:t>
      </w:r>
    </w:p>
    <w:p>
      <w:pPr>
        <w:pStyle w:val="Compact"/>
        <w:numPr>
          <w:ilvl w:val="1"/>
          <w:numId w:val="1005"/>
        </w:numPr>
      </w:pPr>
      <w:r>
        <w:t xml:space="preserve">sparta-live</w:t>
      </w:r>
    </w:p>
    <w:p>
      <w:pPr>
        <w:pStyle w:val="Compact"/>
        <w:numPr>
          <w:ilvl w:val="1"/>
          <w:numId w:val="1005"/>
        </w:numPr>
      </w:pPr>
      <w:r>
        <w:t xml:space="preserve">sparta-et-live (shared by Sparta-ET and Sparta-Staging)</w:t>
      </w:r>
    </w:p>
    <w:bookmarkStart w:id="13" w:name="spartaet-details"/>
    <w:p>
      <w:pPr>
        <w:pStyle w:val="Heading3"/>
      </w:pPr>
      <w:r>
        <w:t xml:space="preserve">SpartaET Details</w:t>
      </w:r>
    </w:p>
    <w:p>
      <w:pPr>
        <w:pStyle w:val="Compact"/>
        <w:numPr>
          <w:ilvl w:val="0"/>
          <w:numId w:val="1006"/>
        </w:numPr>
      </w:pPr>
      <w:r>
        <w:t xml:space="preserve">10 subnets</w:t>
      </w:r>
    </w:p>
    <w:p>
      <w:pPr>
        <w:pStyle w:val="Compact"/>
        <w:numPr>
          <w:ilvl w:val="0"/>
          <w:numId w:val="1006"/>
        </w:numPr>
      </w:pPr>
      <w:r>
        <w:t xml:space="preserve">3 AZs: 1a, 1b, 1c (1c includes sandbox)</w:t>
      </w:r>
    </w:p>
    <w:p>
      <w:pPr>
        <w:pStyle w:val="Compact"/>
        <w:numPr>
          <w:ilvl w:val="0"/>
          <w:numId w:val="1006"/>
        </w:numPr>
      </w:pPr>
      <w:r>
        <w:t xml:space="preserve">Subnets appear small (≈32 IPs observed per subnet)</w:t>
      </w:r>
    </w:p>
    <w:p>
      <w:pPr>
        <w:pStyle w:val="Compact"/>
        <w:numPr>
          <w:ilvl w:val="0"/>
          <w:numId w:val="1006"/>
        </w:numPr>
      </w:pPr>
      <w:r>
        <w:t xml:space="preserve">Sparta-Staging resources exist in subnets suffixed with “-dev”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working-hypothesis-subject-to-validation"/>
    <w:p>
      <w:pPr>
        <w:pStyle w:val="Heading2"/>
      </w:pPr>
      <w:r>
        <w:t xml:space="preserve">Working Hypothesis (Subject to Validation)</w:t>
      </w:r>
    </w:p>
    <w:p>
      <w:pPr>
        <w:pStyle w:val="FirstParagraph"/>
      </w:pPr>
      <w:r>
        <w:t xml:space="preserve">At this stage, the issue appears related to network capacity constraints that became visible during patching, rather than a direct compute limitation.</w:t>
      </w:r>
    </w:p>
    <w:bookmarkStart w:id="15" w:name="in-eks"/>
    <w:p>
      <w:pPr>
        <w:pStyle w:val="Heading3"/>
      </w:pPr>
      <w:r>
        <w:t xml:space="preserve">In EKS:</w:t>
      </w:r>
    </w:p>
    <w:p>
      <w:pPr>
        <w:pStyle w:val="Compact"/>
        <w:numPr>
          <w:ilvl w:val="0"/>
          <w:numId w:val="1007"/>
        </w:numPr>
      </w:pPr>
      <w:r>
        <w:t xml:space="preserve">Each pod is assigned a real VPC IP via the AWS VPC CNI</w:t>
      </w:r>
    </w:p>
    <w:p>
      <w:pPr>
        <w:pStyle w:val="Compact"/>
        <w:numPr>
          <w:ilvl w:val="0"/>
          <w:numId w:val="1007"/>
        </w:numPr>
      </w:pPr>
      <w:r>
        <w:t xml:space="preserve">Nodes receive IPs through ENIs attached to the instance</w:t>
      </w:r>
    </w:p>
    <w:bookmarkEnd w:id="15"/>
    <w:bookmarkStart w:id="16" w:name="because-of-this"/>
    <w:p>
      <w:pPr>
        <w:pStyle w:val="Heading3"/>
      </w:pPr>
      <w:r>
        <w:t xml:space="preserve">Because of this:</w:t>
      </w:r>
    </w:p>
    <w:p>
      <w:pPr>
        <w:pStyle w:val="Compact"/>
        <w:numPr>
          <w:ilvl w:val="0"/>
          <w:numId w:val="1008"/>
        </w:numPr>
      </w:pPr>
      <w:r>
        <w:t xml:space="preserve">Pod density is directly tied to available IP space</w:t>
      </w:r>
    </w:p>
    <w:p>
      <w:pPr>
        <w:pStyle w:val="Compact"/>
        <w:numPr>
          <w:ilvl w:val="0"/>
          <w:numId w:val="1008"/>
        </w:numPr>
      </w:pPr>
      <w:r>
        <w:t xml:space="preserve">Node scaling is constrained by subnet capacity and ENI limits</w:t>
      </w:r>
    </w:p>
    <w:p>
      <w:pPr>
        <w:pStyle w:val="Compact"/>
        <w:numPr>
          <w:ilvl w:val="0"/>
          <w:numId w:val="1008"/>
        </w:numPr>
      </w:pPr>
      <w:r>
        <w:t xml:space="preserve">Importantly, the CNI maintains a pool of pre-allocated (“warm”) IPs to speed up pod scheduling, which can consume IP space even when not actively in use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87c70115af1b6907866ca5ac49e20865e6b040b"/>
    <w:p>
      <w:pPr>
        <w:pStyle w:val="Heading2"/>
      </w:pPr>
      <w:r>
        <w:t xml:space="preserve">Simplified View of EKS Networking (For Context)</w:t>
      </w:r>
    </w:p>
    <w:p>
      <w:pPr>
        <w:pStyle w:val="FirstParagraph"/>
      </w:pPr>
      <w:r>
        <w:t xml:space="preserve">To help frame the behavior, this can be viewed in simpler terms:</w:t>
      </w:r>
    </w:p>
    <w:p>
      <w:pPr>
        <w:pStyle w:val="Compact"/>
        <w:numPr>
          <w:ilvl w:val="0"/>
          <w:numId w:val="1009"/>
        </w:numPr>
      </w:pPr>
      <w:r>
        <w:t xml:space="preserve">Nodes act like buildings</w:t>
      </w:r>
    </w:p>
    <w:p>
      <w:pPr>
        <w:pStyle w:val="Compact"/>
        <w:numPr>
          <w:ilvl w:val="0"/>
          <w:numId w:val="1009"/>
        </w:numPr>
      </w:pPr>
      <w:r>
        <w:t xml:space="preserve">Pods are tenants</w:t>
      </w:r>
    </w:p>
    <w:p>
      <w:pPr>
        <w:pStyle w:val="Compact"/>
        <w:numPr>
          <w:ilvl w:val="0"/>
          <w:numId w:val="1009"/>
        </w:numPr>
      </w:pPr>
      <w:r>
        <w:t xml:space="preserve">IP addresses are mailing addresses</w:t>
      </w:r>
    </w:p>
    <w:p>
      <w:pPr>
        <w:pStyle w:val="Compact"/>
        <w:numPr>
          <w:ilvl w:val="0"/>
          <w:numId w:val="1009"/>
        </w:numPr>
      </w:pPr>
      <w:r>
        <w:t xml:space="preserve">ENIs are groups of mailboxes attached to each building</w:t>
      </w:r>
    </w:p>
    <w:p>
      <w:pPr>
        <w:pStyle w:val="Compact"/>
        <w:numPr>
          <w:ilvl w:val="0"/>
          <w:numId w:val="1009"/>
        </w:numPr>
      </w:pPr>
      <w:r>
        <w:t xml:space="preserve">The VPC CIDR is the total address space</w:t>
      </w:r>
    </w:p>
    <w:bookmarkStart w:id="18" w:name="each-node-has-limits"/>
    <w:p>
      <w:pPr>
        <w:pStyle w:val="Heading3"/>
      </w:pPr>
      <w:r>
        <w:t xml:space="preserve">Each node has limits:</w:t>
      </w:r>
    </w:p>
    <w:p>
      <w:pPr>
        <w:pStyle w:val="Compact"/>
        <w:numPr>
          <w:ilvl w:val="0"/>
          <w:numId w:val="1010"/>
        </w:numPr>
      </w:pPr>
      <w:r>
        <w:t xml:space="preserve">A maximum number of ENIs</w:t>
      </w:r>
    </w:p>
    <w:p>
      <w:pPr>
        <w:pStyle w:val="Compact"/>
        <w:numPr>
          <w:ilvl w:val="0"/>
          <w:numId w:val="1010"/>
        </w:numPr>
      </w:pPr>
      <w:r>
        <w:t xml:space="preserve">A maximum number of IPs per ENI</w:t>
      </w:r>
    </w:p>
    <w:p>
      <w:pPr>
        <w:pStyle w:val="FirstParagraph"/>
      </w:pPr>
      <w:r>
        <w:t xml:space="preserve">Even if compute resources are available:</w:t>
      </w:r>
    </w:p>
    <w:p>
      <w:pPr>
        <w:pStyle w:val="Compact"/>
        <w:numPr>
          <w:ilvl w:val="0"/>
          <w:numId w:val="1011"/>
        </w:numPr>
      </w:pPr>
      <w:r>
        <w:t xml:space="preserve">Workloads cannot be scheduled without available IP capacity</w:t>
      </w:r>
    </w:p>
    <w:p>
      <w:pPr>
        <w:pStyle w:val="FirstParagraph"/>
      </w:pPr>
      <w:r>
        <w:t xml:space="preserve">This aligns with how EKS networking works, where each pod receives an IP from the VPC network itself.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e51487deac933d78cd3b5e0705c2b9b26ca6b0"/>
    <w:p>
      <w:pPr>
        <w:pStyle w:val="Heading2"/>
      </w:pPr>
      <w:r>
        <w:t xml:space="preserve">Patching Behavior and Contributing Factors</w:t>
      </w:r>
    </w:p>
    <w:bookmarkStart w:id="20" w:name="during-patching"/>
    <w:p>
      <w:pPr>
        <w:pStyle w:val="Heading3"/>
      </w:pPr>
      <w:r>
        <w:t xml:space="preserve">During patching:</w:t>
      </w:r>
    </w:p>
    <w:p>
      <w:pPr>
        <w:pStyle w:val="Compact"/>
        <w:numPr>
          <w:ilvl w:val="0"/>
          <w:numId w:val="1012"/>
        </w:numPr>
      </w:pPr>
      <w:r>
        <w:t xml:space="preserve">Nodes were drained → pods required rescheduling</w:t>
      </w:r>
    </w:p>
    <w:p>
      <w:pPr>
        <w:pStyle w:val="Compact"/>
        <w:numPr>
          <w:ilvl w:val="0"/>
          <w:numId w:val="1012"/>
        </w:numPr>
      </w:pPr>
      <w:r>
        <w:t xml:space="preserve">New nodes needed to be provisioned</w:t>
      </w:r>
    </w:p>
    <w:p>
      <w:pPr>
        <w:pStyle w:val="Compact"/>
        <w:numPr>
          <w:ilvl w:val="0"/>
          <w:numId w:val="1012"/>
        </w:numPr>
      </w:pPr>
      <w:r>
        <w:t xml:space="preserve">IP demand increased across the cluster in a short window</w:t>
      </w:r>
    </w:p>
    <w:bookmarkEnd w:id="20"/>
    <w:bookmarkStart w:id="21" w:name="at-the-same-time"/>
    <w:p>
      <w:pPr>
        <w:pStyle w:val="Heading3"/>
      </w:pPr>
      <w:r>
        <w:t xml:space="preserve">At the same time:</w:t>
      </w:r>
    </w:p>
    <w:p>
      <w:pPr>
        <w:pStyle w:val="Compact"/>
        <w:numPr>
          <w:ilvl w:val="0"/>
          <w:numId w:val="1013"/>
        </w:numPr>
      </w:pPr>
      <w:r>
        <w:t xml:space="preserve">IP allocation depends on subnet availability and ENI limits</w:t>
      </w:r>
    </w:p>
    <w:p>
      <w:pPr>
        <w:pStyle w:val="Compact"/>
        <w:numPr>
          <w:ilvl w:val="0"/>
          <w:numId w:val="1013"/>
        </w:numPr>
      </w:pPr>
      <w:r>
        <w:t xml:space="preserve">ENI attachment and IP allocation are not instantaneous</w:t>
      </w:r>
    </w:p>
    <w:p>
      <w:pPr>
        <w:pStyle w:val="Compact"/>
        <w:numPr>
          <w:ilvl w:val="0"/>
          <w:numId w:val="1013"/>
        </w:numPr>
      </w:pPr>
      <w:r>
        <w:t xml:space="preserve">Pre-allocated IP pools may already be consuming available space</w:t>
      </w:r>
    </w:p>
    <w:bookmarkEnd w:id="21"/>
    <w:bookmarkStart w:id="22" w:name="additional-complication-observed"/>
    <w:p>
      <w:pPr>
        <w:pStyle w:val="Heading3"/>
      </w:pPr>
      <w:r>
        <w:t xml:space="preserve">Additional Complication Observed</w:t>
      </w:r>
    </w:p>
    <w:p>
      <w:pPr>
        <w:pStyle w:val="Compact"/>
        <w:numPr>
          <w:ilvl w:val="0"/>
          <w:numId w:val="1014"/>
        </w:numPr>
      </w:pPr>
      <w:r>
        <w:t xml:space="preserve">Kyverno policies interfered with node deletion</w:t>
      </w:r>
    </w:p>
    <w:p>
      <w:pPr>
        <w:pStyle w:val="Compact"/>
        <w:numPr>
          <w:ilvl w:val="0"/>
          <w:numId w:val="1014"/>
        </w:numPr>
      </w:pPr>
      <w:r>
        <w:t xml:space="preserve">Node lifecycle operations did not complete cleanly</w:t>
      </w:r>
    </w:p>
    <w:p>
      <w:pPr>
        <w:pStyle w:val="FirstParagraph"/>
      </w:pPr>
      <w:r>
        <w:t xml:space="preserve">This created a situation where:</w:t>
      </w:r>
    </w:p>
    <w:p>
      <w:pPr>
        <w:pStyle w:val="Compact"/>
        <w:numPr>
          <w:ilvl w:val="0"/>
          <w:numId w:val="1015"/>
        </w:numPr>
      </w:pPr>
      <w:r>
        <w:t xml:space="preserve">Nodes were attempting to terminate</w:t>
      </w:r>
    </w:p>
    <w:p>
      <w:pPr>
        <w:pStyle w:val="Compact"/>
        <w:numPr>
          <w:ilvl w:val="0"/>
          <w:numId w:val="1015"/>
        </w:numPr>
      </w:pPr>
      <w:r>
        <w:t xml:space="preserve">Policies were preventing termination</w:t>
      </w:r>
    </w:p>
    <w:p>
      <w:pPr>
        <w:pStyle w:val="Compact"/>
        <w:numPr>
          <w:ilvl w:val="0"/>
          <w:numId w:val="1015"/>
        </w:numPr>
      </w:pPr>
      <w:r>
        <w:t xml:space="preserve">Cluster state became inconsistent during scaling</w:t>
      </w:r>
    </w:p>
    <w:p>
      <w:pPr>
        <w:pStyle w:val="FirstParagraph"/>
      </w:pPr>
      <w:r>
        <w:t xml:space="preserve">Additionally:</w:t>
      </w:r>
    </w:p>
    <w:p>
      <w:pPr>
        <w:pStyle w:val="Compact"/>
        <w:numPr>
          <w:ilvl w:val="0"/>
          <w:numId w:val="1016"/>
        </w:numPr>
      </w:pPr>
      <w:r>
        <w:t xml:space="preserve">Sparta-Staging was fully scaled down in an attempt to free capacity</w:t>
      </w:r>
    </w:p>
    <w:p>
      <w:pPr>
        <w:pStyle w:val="Compact"/>
        <w:numPr>
          <w:ilvl w:val="0"/>
          <w:numId w:val="1016"/>
        </w:numPr>
      </w:pPr>
      <w:r>
        <w:t xml:space="preserve">This did not resolve the issue</w:t>
      </w:r>
    </w:p>
    <w:bookmarkEnd w:id="22"/>
    <w:bookmarkStart w:id="23" w:name="operational-flow-context"/>
    <w:p>
      <w:pPr>
        <w:pStyle w:val="Heading3"/>
      </w:pPr>
      <w:r>
        <w:t xml:space="preserve">Operational flow context:</w:t>
      </w:r>
    </w:p>
    <w:p>
      <w:pPr>
        <w:pStyle w:val="Compact"/>
        <w:numPr>
          <w:ilvl w:val="0"/>
          <w:numId w:val="1017"/>
        </w:numPr>
      </w:pPr>
      <w:r>
        <w:t xml:space="preserve">Sparta-Staging → Sparta-ET → Sparta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y-this-may-be-isolated-to-spartaet"/>
    <w:p>
      <w:pPr>
        <w:pStyle w:val="Heading2"/>
      </w:pPr>
      <w:r>
        <w:t xml:space="preserve">Why This May Be Isolated to SpartaET</w:t>
      </w:r>
    </w:p>
    <w:p>
      <w:pPr>
        <w:pStyle w:val="FirstParagraph"/>
      </w:pPr>
      <w:r>
        <w:t xml:space="preserve">Several differences likely contributed:</w:t>
      </w:r>
    </w:p>
    <w:p>
      <w:pPr>
        <w:pStyle w:val="Compact"/>
        <w:numPr>
          <w:ilvl w:val="0"/>
          <w:numId w:val="1018"/>
        </w:numPr>
      </w:pPr>
      <w:r>
        <w:t xml:space="preserve">Shared VPC (Sparta-ET + Sparta-Staging) increases contention potential</w:t>
      </w:r>
    </w:p>
    <w:p>
      <w:pPr>
        <w:pStyle w:val="Compact"/>
        <w:numPr>
          <w:ilvl w:val="0"/>
          <w:numId w:val="1018"/>
        </w:numPr>
      </w:pPr>
      <w:r>
        <w:t xml:space="preserve">Smaller subnet sizes reduce available headroom</w:t>
      </w:r>
    </w:p>
    <w:p>
      <w:pPr>
        <w:pStyle w:val="Compact"/>
        <w:numPr>
          <w:ilvl w:val="0"/>
          <w:numId w:val="1018"/>
        </w:numPr>
      </w:pPr>
      <w:r>
        <w:t xml:space="preserve">Higher pod density increases IP consumption</w:t>
      </w:r>
    </w:p>
    <w:p>
      <w:pPr>
        <w:pStyle w:val="Compact"/>
        <w:numPr>
          <w:ilvl w:val="0"/>
          <w:numId w:val="1018"/>
        </w:numPr>
      </w:pPr>
      <w:r>
        <w:t xml:space="preserve">Possible configuration differences (CNI settings, instance types, scaling patterns)</w:t>
      </w:r>
    </w:p>
    <w:p>
      <w:pPr>
        <w:pStyle w:val="FirstParagraph"/>
      </w:pPr>
      <w:r>
        <w:t xml:space="preserve">These conditions may not surface during steady-state operation, but become more visible during events that require rapid scaling or redistribution of workloads.</w:t>
      </w:r>
    </w:p>
    <w:p>
      <w:r>
        <w:pict>
          <v:rect style="width:0;height:1.5pt" o:hralign="center" o:hrstd="t" o:hr="t"/>
        </w:pict>
      </w:r>
    </w:p>
    <w:bookmarkEnd w:id="25"/>
    <w:bookmarkStart w:id="26" w:name="observations"/>
    <w:p>
      <w:pPr>
        <w:pStyle w:val="Heading2"/>
      </w:pPr>
      <w:r>
        <w:t xml:space="preserve">Observations</w:t>
      </w:r>
    </w:p>
    <w:p>
      <w:pPr>
        <w:pStyle w:val="Compact"/>
        <w:numPr>
          <w:ilvl w:val="0"/>
          <w:numId w:val="1019"/>
        </w:numPr>
      </w:pPr>
      <w:r>
        <w:t xml:space="preserve">SpartaET has the highest pod-to-node density</w:t>
      </w:r>
    </w:p>
    <w:p>
      <w:pPr>
        <w:pStyle w:val="Compact"/>
        <w:numPr>
          <w:ilvl w:val="0"/>
          <w:numId w:val="1019"/>
        </w:numPr>
      </w:pPr>
      <w:r>
        <w:t xml:space="preserve">Subnet capacity appears constrained relative to demand</w:t>
      </w:r>
    </w:p>
    <w:p>
      <w:pPr>
        <w:pStyle w:val="Compact"/>
        <w:numPr>
          <w:ilvl w:val="0"/>
          <w:numId w:val="1019"/>
        </w:numPr>
      </w:pPr>
      <w:r>
        <w:t xml:space="preserve">Total subnet count does not necessarily translate to usable capacity if each is small</w:t>
      </w:r>
    </w:p>
    <w:p>
      <w:pPr>
        <w:pStyle w:val="Compact"/>
        <w:numPr>
          <w:ilvl w:val="0"/>
          <w:numId w:val="1019"/>
        </w:numPr>
      </w:pPr>
      <w:r>
        <w:t xml:space="preserve">Shared VPC introduces potential fragmentation and uneven IP utilization</w:t>
      </w:r>
    </w:p>
    <w:p>
      <w:pPr>
        <w:pStyle w:val="FirstParagraph"/>
      </w:pPr>
      <w:r>
        <w:t xml:space="preserve">This type of configuration can operate normally under steady load, but may become constrained during operations like patching that temporarily increase demand.</w:t>
      </w:r>
    </w:p>
    <w:p>
      <w:r>
        <w:pict>
          <v:rect style="width:0;height:1.5pt" o:hralign="center" o:hrstd="t" o:hr="t"/>
        </w:pict>
      </w:r>
    </w:p>
    <w:bookmarkEnd w:id="26"/>
    <w:bookmarkStart w:id="30" w:name="proposed-solutions"/>
    <w:p>
      <w:pPr>
        <w:pStyle w:val="Heading2"/>
      </w:pPr>
      <w:r>
        <w:t xml:space="preserve">Proposed Solutions</w:t>
      </w:r>
    </w:p>
    <w:bookmarkStart w:id="27" w:name="low-cost-immediate"/>
    <w:p>
      <w:pPr>
        <w:pStyle w:val="Heading3"/>
      </w:pPr>
      <w:r>
        <w:t xml:space="preserve">Low Cost / Immediate</w:t>
      </w:r>
    </w:p>
    <w:p>
      <w:pPr>
        <w:pStyle w:val="Compact"/>
        <w:numPr>
          <w:ilvl w:val="0"/>
          <w:numId w:val="1020"/>
        </w:numPr>
      </w:pPr>
      <w:r>
        <w:t xml:space="preserve">Validate subnet IP availability prior to patching</w:t>
      </w:r>
    </w:p>
    <w:p>
      <w:pPr>
        <w:pStyle w:val="Compact"/>
        <w:numPr>
          <w:ilvl w:val="0"/>
          <w:numId w:val="1020"/>
        </w:numPr>
      </w:pPr>
      <w:r>
        <w:t xml:space="preserve">Improve visibility into ENI and IP allocation (CloudWatch, metrics)</w:t>
      </w:r>
    </w:p>
    <w:p>
      <w:pPr>
        <w:pStyle w:val="Compact"/>
        <w:numPr>
          <w:ilvl w:val="0"/>
          <w:numId w:val="1020"/>
        </w:numPr>
      </w:pPr>
      <w:r>
        <w:t xml:space="preserve">Temporarily relax Kyverno policies during controlled patch windows</w:t>
      </w:r>
    </w:p>
    <w:p>
      <w:pPr>
        <w:pStyle w:val="Compact"/>
        <w:numPr>
          <w:ilvl w:val="0"/>
          <w:numId w:val="1020"/>
        </w:numPr>
      </w:pPr>
      <w:r>
        <w:t xml:space="preserve">Ensure node groups are distributed evenly across subnets and AZs</w:t>
      </w:r>
    </w:p>
    <w:p>
      <w:pPr>
        <w:pStyle w:val="Compact"/>
        <w:numPr>
          <w:ilvl w:val="0"/>
          <w:numId w:val="1020"/>
        </w:numPr>
      </w:pPr>
      <w:r>
        <w:t xml:space="preserve">Review and tune CNI settings (WARM_IP_TARGET, MINIMUM_IP_TARGET)</w:t>
      </w:r>
    </w:p>
    <w:p>
      <w:r>
        <w:pict>
          <v:rect style="width:0;height:1.5pt" o:hralign="center" o:hrstd="t" o:hr="t"/>
        </w:pict>
      </w:r>
    </w:p>
    <w:bookmarkEnd w:id="27"/>
    <w:bookmarkStart w:id="28" w:name="medium-effort"/>
    <w:p>
      <w:pPr>
        <w:pStyle w:val="Heading3"/>
      </w:pPr>
      <w:r>
        <w:t xml:space="preserve">Medium Effort</w:t>
      </w:r>
    </w:p>
    <w:p>
      <w:pPr>
        <w:pStyle w:val="Compact"/>
        <w:numPr>
          <w:ilvl w:val="0"/>
          <w:numId w:val="1021"/>
        </w:numPr>
      </w:pPr>
      <w:r>
        <w:t xml:space="preserve">Enable prefix delegation to increase IP density per ENI</w:t>
      </w:r>
    </w:p>
    <w:p>
      <w:pPr>
        <w:pStyle w:val="Compact"/>
        <w:numPr>
          <w:ilvl w:val="0"/>
          <w:numId w:val="1021"/>
        </w:numPr>
      </w:pPr>
      <w:r>
        <w:t xml:space="preserve">Introduce secondary CIDR blocks for pod networking</w:t>
      </w:r>
    </w:p>
    <w:p>
      <w:pPr>
        <w:pStyle w:val="Compact"/>
        <w:numPr>
          <w:ilvl w:val="0"/>
          <w:numId w:val="1021"/>
        </w:numPr>
      </w:pPr>
      <w:r>
        <w:t xml:space="preserve">Enable enhanced subnet discovery to utilize all available subnets</w:t>
      </w:r>
    </w:p>
    <w:p>
      <w:r>
        <w:pict>
          <v:rect style="width:0;height:1.5pt" o:hralign="center" o:hrstd="t" o:hr="t"/>
        </w:pict>
      </w:r>
    </w:p>
    <w:bookmarkEnd w:id="28"/>
    <w:bookmarkStart w:id="29" w:name="higher-cost-strategic"/>
    <w:p>
      <w:pPr>
        <w:pStyle w:val="Heading3"/>
      </w:pPr>
      <w:r>
        <w:t xml:space="preserve">Higher Cost / Strategic</w:t>
      </w:r>
    </w:p>
    <w:p>
      <w:pPr>
        <w:pStyle w:val="Compact"/>
        <w:numPr>
          <w:ilvl w:val="0"/>
          <w:numId w:val="1022"/>
        </w:numPr>
      </w:pPr>
      <w:r>
        <w:t xml:space="preserve">Redesign subnet sizing to increase available IP space</w:t>
      </w:r>
    </w:p>
    <w:p>
      <w:pPr>
        <w:pStyle w:val="Compact"/>
        <w:numPr>
          <w:ilvl w:val="0"/>
          <w:numId w:val="1022"/>
        </w:numPr>
      </w:pPr>
      <w:r>
        <w:t xml:space="preserve">Separate Sparta-ET from shared VPC to reduce contention</w:t>
      </w:r>
    </w:p>
    <w:p>
      <w:pPr>
        <w:pStyle w:val="Compact"/>
        <w:numPr>
          <w:ilvl w:val="0"/>
          <w:numId w:val="1022"/>
        </w:numPr>
      </w:pPr>
      <w:r>
        <w:t xml:space="preserve">Evaluate IPv6 adoption for long-term scalability</w:t>
      </w:r>
    </w:p>
    <w:p>
      <w:pPr>
        <w:pStyle w:val="Compact"/>
        <w:numPr>
          <w:ilvl w:val="0"/>
          <w:numId w:val="1022"/>
        </w:numPr>
      </w:pPr>
      <w:r>
        <w:t xml:space="preserve">Consider custom networking to separate node and pod CIDR ranges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questions-to-answer-next"/>
    <w:p>
      <w:pPr>
        <w:pStyle w:val="Heading2"/>
      </w:pPr>
      <w:r>
        <w:t xml:space="preserve">Questions to Answer Next</w:t>
      </w:r>
    </w:p>
    <w:p>
      <w:pPr>
        <w:pStyle w:val="Compact"/>
        <w:numPr>
          <w:ilvl w:val="0"/>
          <w:numId w:val="1023"/>
        </w:numPr>
      </w:pPr>
      <w:r>
        <w:t xml:space="preserve">What was the actual available IP count per subnet during patching?</w:t>
      </w:r>
    </w:p>
    <w:p>
      <w:pPr>
        <w:pStyle w:val="Compact"/>
        <w:numPr>
          <w:ilvl w:val="0"/>
          <w:numId w:val="1023"/>
        </w:numPr>
      </w:pPr>
      <w:r>
        <w:t xml:space="preserve">Were failures tied more to subnet exhaustion or ENI limits?</w:t>
      </w:r>
    </w:p>
    <w:p>
      <w:pPr>
        <w:pStyle w:val="Compact"/>
        <w:numPr>
          <w:ilvl w:val="0"/>
          <w:numId w:val="1023"/>
        </w:numPr>
      </w:pPr>
      <w:r>
        <w:t xml:space="preserve">Are CNI configurations consistent across environments?</w:t>
      </w:r>
    </w:p>
    <w:p>
      <w:pPr>
        <w:pStyle w:val="Compact"/>
        <w:numPr>
          <w:ilvl w:val="0"/>
          <w:numId w:val="1023"/>
        </w:numPr>
      </w:pPr>
      <w:r>
        <w:t xml:space="preserve">Is prefix delegation enabled or configured differently?</w:t>
      </w:r>
    </w:p>
    <w:p>
      <w:pPr>
        <w:pStyle w:val="Compact"/>
        <w:numPr>
          <w:ilvl w:val="0"/>
          <w:numId w:val="1023"/>
        </w:numPr>
      </w:pPr>
      <w:r>
        <w:t xml:space="preserve">Is IP fragmentation occurring across subnets?</w:t>
      </w:r>
    </w:p>
    <w:p>
      <w:r>
        <w:pict>
          <v:rect style="width:0;height:1.5pt" o:hralign="center" o:hrstd="t" o:hr="t"/>
        </w:pict>
      </w:r>
    </w:p>
    <w:bookmarkEnd w:id="31"/>
    <w:bookmarkStart w:id="32" w:name="closing-perspective"/>
    <w:p>
      <w:pPr>
        <w:pStyle w:val="Heading2"/>
      </w:pPr>
      <w:r>
        <w:t xml:space="preserve">Closing Perspective</w:t>
      </w:r>
    </w:p>
    <w:p>
      <w:pPr>
        <w:pStyle w:val="FirstParagraph"/>
      </w:pPr>
      <w:r>
        <w:t xml:space="preserve">This appears to be the result of multiple constraints interacting during a high-change operation.</w:t>
      </w:r>
    </w:p>
    <w:p>
      <w:pPr>
        <w:pStyle w:val="BodyText"/>
      </w:pPr>
      <w:r>
        <w:t xml:space="preserve">The patching process did not introduce a new issue, but rather exposed limitations in how network capacity is currently allocated and consumed.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-supporting-material"/>
    <w:p>
      <w:pPr>
        <w:pStyle w:val="Heading2"/>
      </w:pPr>
      <w:r>
        <w:t xml:space="preserve">References &amp; Supporting Material</w:t>
      </w:r>
    </w:p>
    <w:p>
      <w:pPr>
        <w:numPr>
          <w:ilvl w:val="0"/>
          <w:numId w:val="1024"/>
        </w:numPr>
      </w:pPr>
      <w:r>
        <w:t xml:space="preserve">AWS EKS Best Practices – IP Optimization</w:t>
      </w:r>
      <w:r>
        <w:br/>
      </w:r>
      <w:r>
        <w:t xml:space="preserve">https://docs.aws.amazon.com/eks/latest/best-practices/ip-opt.html</w:t>
      </w:r>
    </w:p>
    <w:p>
      <w:pPr>
        <w:numPr>
          <w:ilvl w:val="0"/>
          <w:numId w:val="1024"/>
        </w:numPr>
      </w:pPr>
      <w:r>
        <w:t xml:space="preserve">AWS VPC CNI Behavior and ENI Allocation</w:t>
      </w:r>
      <w:r>
        <w:br/>
      </w:r>
      <w:r>
        <w:t xml:space="preserve">https://docs.aws.amazon.com/eks/latest/best-practices/vpc-cni.html</w:t>
      </w:r>
    </w:p>
    <w:p>
      <w:pPr>
        <w:numPr>
          <w:ilvl w:val="0"/>
          <w:numId w:val="1024"/>
        </w:numPr>
      </w:pPr>
      <w:r>
        <w:t xml:space="preserve">EKS Networking Explained (Conceptual Breakdown)</w:t>
      </w:r>
      <w:r>
        <w:br/>
      </w:r>
      <w:r>
        <w:t xml:space="preserve">https://dev.to/dap0am_/eks-networking-explained-why-am-i-running-out-of-ips-part-1-8f3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2026-03-19T21:33:53Z</dcterms:created>
  <dcterms:modified xsi:type="dcterms:W3CDTF">2026-03-19T21:33:53Z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