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9"/>
          <w:szCs w:val="19"/>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1708513</wp:posOffset>
            </wp:positionH>
            <wp:positionV relativeFrom="paragraph">
              <wp:posOffset>-1229360</wp:posOffset>
            </wp:positionV>
            <wp:extent cx="2612027" cy="2612027"/>
            <wp:effectExtent b="0" l="0" r="0" t="0"/>
            <wp:wrapNone/>
            <wp:docPr descr="Forma&#10;&#10;Descripción generada automáticamente con confianza baja" id="2" name="image1.png"/>
            <a:graphic>
              <a:graphicData uri="http://schemas.openxmlformats.org/drawingml/2006/picture">
                <pic:pic>
                  <pic:nvPicPr>
                    <pic:cNvPr descr="Forma&#10;&#10;Descripción generada automáticamente con confianza baja" id="0" name="image1.png"/>
                    <pic:cNvPicPr preferRelativeResize="0"/>
                  </pic:nvPicPr>
                  <pic:blipFill>
                    <a:blip r:embed="rId6"/>
                    <a:srcRect b="0" l="0" r="0" t="0"/>
                    <a:stretch>
                      <a:fillRect/>
                    </a:stretch>
                  </pic:blipFill>
                  <pic:spPr>
                    <a:xfrm>
                      <a:off x="0" y="0"/>
                      <a:ext cx="2612027" cy="2612027"/>
                    </a:xfrm>
                    <a:prstGeom prst="rect"/>
                    <a:ln/>
                  </pic:spPr>
                </pic:pic>
              </a:graphicData>
            </a:graphic>
          </wp:anchor>
        </w:drawing>
      </w:r>
    </w:p>
    <w:p w:rsidR="00000000" w:rsidDel="00000000" w:rsidP="00000000" w:rsidRDefault="00000000" w:rsidRPr="00000000" w14:paraId="00000002">
      <w:pPr>
        <w:rPr>
          <w:b w:val="1"/>
          <w:bCs w:val="1"/>
          <w:sz w:val="19"/>
          <w:szCs w:val="19"/>
          <w:u w:val="singl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color w:val="808080"/>
          <w:sz w:val="36"/>
          <w:szCs w:val="36"/>
        </w:rPr>
      </w:pPr>
      <w:r w:rsidDel="00000000" w:rsidR="00000000" w:rsidRPr="00000000">
        <w:rPr>
          <w:b w:val="1"/>
          <w:bCs w:val="1"/>
          <w:sz w:val="56"/>
          <w:szCs w:val="56"/>
          <w:rtl w:val="0"/>
        </w:rPr>
        <w:t xml:space="preserve">FACULTADO</w:t>
      </w:r>
      <w:r w:rsidDel="00000000" w:rsidR="00000000" w:rsidRPr="00000000">
        <w:rPr>
          <w:b w:val="1"/>
          <w:bCs w:val="1"/>
          <w:sz w:val="56"/>
          <w:szCs w:val="56"/>
          <w:rtl w:val="0"/>
        </w:rPr>
        <w:t xml:space="preserve"> DE INGENIERÍA</w:t>
      </w:r>
      <w:r w:rsidDel="00000000" w:rsidR="00000000" w:rsidRPr="00000000">
        <w:rPr>
          <w:rtl w:val="0"/>
        </w:rPr>
      </w:r>
    </w:p>
    <w:p w:rsidR="00000000" w:rsidDel="00000000" w:rsidP="00000000" w:rsidRDefault="00000000" w:rsidRPr="00000000" w14:paraId="00000005">
      <w:pPr>
        <w:spacing w:line="240" w:lineRule="auto"/>
        <w:rPr>
          <w:color w:val="808080"/>
          <w:sz w:val="38"/>
          <w:szCs w:val="38"/>
        </w:rPr>
      </w:pPr>
      <w:r w:rsidDel="00000000" w:rsidR="00000000" w:rsidRPr="00000000">
        <w:rPr>
          <w:rtl w:val="0"/>
        </w:rPr>
      </w:r>
    </w:p>
    <w:p w:rsidR="00000000" w:rsidDel="00000000" w:rsidP="00000000" w:rsidRDefault="00000000" w:rsidRPr="00000000" w14:paraId="00000006">
      <w:pPr>
        <w:spacing w:line="240" w:lineRule="auto"/>
        <w:rPr>
          <w:sz w:val="34"/>
          <w:szCs w:val="34"/>
        </w:rPr>
      </w:pPr>
      <w:r w:rsidDel="00000000" w:rsidR="00000000" w:rsidRPr="00000000">
        <w:rPr>
          <w:sz w:val="34"/>
          <w:szCs w:val="34"/>
          <w:rtl w:val="0"/>
        </w:rPr>
        <w:t xml:space="preserve">SISTEMA WEB PARA LA GESTIÓN DE RESERVAS</w:t>
      </w:r>
    </w:p>
    <w:p w:rsidR="00000000" w:rsidDel="00000000" w:rsidP="00000000" w:rsidRDefault="00000000" w:rsidRPr="00000000" w14:paraId="00000007">
      <w:pPr>
        <w:spacing w:line="360" w:lineRule="auto"/>
        <w:rPr>
          <w:sz w:val="34"/>
          <w:szCs w:val="34"/>
        </w:rPr>
      </w:pPr>
      <w:r w:rsidDel="00000000" w:rsidR="00000000" w:rsidRPr="00000000">
        <w:rPr>
          <w:sz w:val="34"/>
          <w:szCs w:val="34"/>
          <w:rtl w:val="0"/>
        </w:rPr>
        <w:t xml:space="preserve">DE CITAS MÉDICAS HOSPITALARIAS PARA PREVENIR LA PÉRDIDA DE DATOS A TRAVÉS DE COPIAS DE SEGURIDAD EN LA NUBE PAAS</w:t>
      </w:r>
    </w:p>
    <w:p w:rsidR="00000000" w:rsidDel="00000000" w:rsidP="00000000" w:rsidRDefault="00000000" w:rsidRPr="00000000" w14:paraId="00000008">
      <w:pPr>
        <w:spacing w:line="240" w:lineRule="auto"/>
        <w:rPr>
          <w:b w:val="1"/>
          <w:bCs w:val="1"/>
          <w:color w:val="808080"/>
          <w:sz w:val="31"/>
          <w:szCs w:val="31"/>
        </w:rPr>
      </w:pPr>
      <w:r w:rsidDel="00000000" w:rsidR="00000000" w:rsidRPr="00000000">
        <w:rPr>
          <w:rtl w:val="0"/>
        </w:rPr>
      </w:r>
    </w:p>
    <w:p w:rsidR="00000000" w:rsidDel="00000000" w:rsidP="00000000" w:rsidRDefault="00000000" w:rsidRPr="00000000" w14:paraId="00000009">
      <w:pPr>
        <w:spacing w:line="240" w:lineRule="auto"/>
        <w:jc w:val="right"/>
        <w:rPr>
          <w:b w:val="1"/>
          <w:bCs w:val="1"/>
          <w:sz w:val="31"/>
          <w:szCs w:val="31"/>
        </w:rPr>
      </w:pPr>
      <w:r w:rsidDel="00000000" w:rsidR="00000000" w:rsidRPr="00000000">
        <w:rPr>
          <w:b w:val="1"/>
          <w:bCs w:val="1"/>
          <w:sz w:val="31"/>
          <w:szCs w:val="31"/>
          <w:rtl w:val="0"/>
        </w:rPr>
        <w:t xml:space="preserve">Autor</w:t>
      </w:r>
    </w:p>
    <w:p w:rsidR="00000000" w:rsidDel="00000000" w:rsidP="00000000" w:rsidRDefault="00000000" w:rsidRPr="00000000" w14:paraId="0000000A">
      <w:pPr>
        <w:spacing w:line="240" w:lineRule="auto"/>
        <w:jc w:val="right"/>
        <w:rPr>
          <w:rFonts w:ascii="Arial" w:cs="Arial" w:eastAsia="Arial" w:hAnsi="Arial"/>
          <w:color w:val="262626"/>
          <w:sz w:val="21"/>
          <w:szCs w:val="21"/>
          <w:highlight w:val="white"/>
        </w:rPr>
      </w:pPr>
      <w:r w:rsidDel="00000000" w:rsidR="00000000" w:rsidRPr="00000000">
        <w:rPr>
          <w:color w:val="808080"/>
          <w:sz w:val="31"/>
          <w:szCs w:val="31"/>
          <w:rtl w:val="0"/>
        </w:rPr>
        <w:t xml:space="preserve">Mejia Oré, Dean Farid</w:t>
        <w:br w:type="textWrapping"/>
        <w:t xml:space="preserve">Osorio Barreto, Oscar Jheremi</w:t>
        <w:br w:type="textWrapping"/>
        <w:t xml:space="preserve">Quio Chavez, Erick Brucely</w:t>
        <w:br w:type="textWrapping"/>
        <w:t xml:space="preserve">Socola Jaimes, Jose Andres</w:t>
      </w:r>
      <w:r w:rsidDel="00000000" w:rsidR="00000000" w:rsidRPr="00000000">
        <w:rPr>
          <w:color w:val="808080"/>
          <w:sz w:val="31"/>
          <w:szCs w:val="31"/>
          <w:rtl w:val="0"/>
        </w:rPr>
        <w:br w:type="textWrapping"/>
        <w:t xml:space="preserve">Villacorta Diaz, Anthony Francisco </w:t>
      </w:r>
      <w:r w:rsidDel="00000000" w:rsidR="00000000" w:rsidRPr="00000000">
        <w:rPr>
          <w:rtl w:val="0"/>
        </w:rPr>
      </w:r>
    </w:p>
    <w:p w:rsidR="00000000" w:rsidDel="00000000" w:rsidP="00000000" w:rsidRDefault="00000000" w:rsidRPr="00000000" w14:paraId="0000000B">
      <w:pPr>
        <w:spacing w:after="0" w:line="240" w:lineRule="auto"/>
        <w:jc w:val="right"/>
        <w:rPr>
          <w:rFonts w:ascii="Arial" w:cs="Arial" w:eastAsia="Arial" w:hAnsi="Arial"/>
          <w:color w:val="262626"/>
          <w:sz w:val="21"/>
          <w:szCs w:val="21"/>
          <w:highlight w:val="white"/>
        </w:rPr>
      </w:pPr>
      <w:r w:rsidDel="00000000" w:rsidR="00000000" w:rsidRPr="00000000">
        <w:rPr>
          <w:rtl w:val="0"/>
        </w:rPr>
      </w:r>
    </w:p>
    <w:p w:rsidR="00000000" w:rsidDel="00000000" w:rsidP="00000000" w:rsidRDefault="00000000" w:rsidRPr="00000000" w14:paraId="0000000C">
      <w:pPr>
        <w:spacing w:line="240" w:lineRule="auto"/>
        <w:jc w:val="right"/>
        <w:rPr>
          <w:color w:val="808080"/>
          <w:sz w:val="31"/>
          <w:szCs w:val="31"/>
        </w:rPr>
      </w:pPr>
      <w:r w:rsidDel="00000000" w:rsidR="00000000" w:rsidRPr="00000000">
        <w:rPr>
          <w:rtl w:val="0"/>
        </w:rPr>
      </w:r>
    </w:p>
    <w:p w:rsidR="00000000" w:rsidDel="00000000" w:rsidP="00000000" w:rsidRDefault="00000000" w:rsidRPr="00000000" w14:paraId="0000000D">
      <w:pPr>
        <w:spacing w:line="240" w:lineRule="auto"/>
        <w:jc w:val="right"/>
        <w:rPr>
          <w:sz w:val="31"/>
          <w:szCs w:val="31"/>
        </w:rPr>
      </w:pPr>
      <w:r w:rsidDel="00000000" w:rsidR="00000000" w:rsidRPr="00000000">
        <w:rPr>
          <w:b w:val="1"/>
          <w:bCs w:val="1"/>
          <w:sz w:val="31"/>
          <w:szCs w:val="31"/>
          <w:rtl w:val="0"/>
        </w:rPr>
        <w:t xml:space="preserve">Asesores</w:t>
      </w:r>
      <w:r w:rsidDel="00000000" w:rsidR="00000000" w:rsidRPr="00000000">
        <w:rPr>
          <w:rtl w:val="0"/>
        </w:rPr>
      </w:r>
    </w:p>
    <w:p w:rsidR="00000000" w:rsidDel="00000000" w:rsidP="00000000" w:rsidRDefault="00000000" w:rsidRPr="00000000" w14:paraId="0000000E">
      <w:pPr>
        <w:spacing w:line="240" w:lineRule="auto"/>
        <w:jc w:val="right"/>
        <w:rPr>
          <w:color w:val="808080"/>
          <w:sz w:val="31"/>
          <w:szCs w:val="31"/>
        </w:rPr>
      </w:pPr>
      <w:r w:rsidDel="00000000" w:rsidR="00000000" w:rsidRPr="00000000">
        <w:rPr>
          <w:color w:val="808080"/>
          <w:sz w:val="31"/>
          <w:szCs w:val="31"/>
          <w:rtl w:val="0"/>
        </w:rPr>
        <w:t xml:space="preserve"> Hugo Jurek Camilo Tumba Burgos</w:t>
      </w:r>
    </w:p>
    <w:p w:rsidR="00000000" w:rsidDel="00000000" w:rsidP="00000000" w:rsidRDefault="00000000" w:rsidRPr="00000000" w14:paraId="0000000F">
      <w:pPr>
        <w:spacing w:line="240" w:lineRule="auto"/>
        <w:jc w:val="right"/>
        <w:rPr>
          <w:color w:val="808080"/>
          <w:sz w:val="31"/>
          <w:szCs w:val="31"/>
        </w:rPr>
      </w:pPr>
      <w:r w:rsidDel="00000000" w:rsidR="00000000" w:rsidRPr="00000000">
        <w:rPr>
          <w:color w:val="808080"/>
          <w:sz w:val="31"/>
          <w:szCs w:val="31"/>
          <w:rtl w:val="0"/>
        </w:rPr>
        <w:t xml:space="preserve">Código ORCID</w:t>
      </w:r>
    </w:p>
    <w:p w:rsidR="00000000" w:rsidDel="00000000" w:rsidP="00000000" w:rsidRDefault="00000000" w:rsidRPr="00000000" w14:paraId="00000010">
      <w:pPr>
        <w:spacing w:line="240" w:lineRule="auto"/>
        <w:rPr>
          <w:color w:val="808080"/>
          <w:sz w:val="32"/>
          <w:szCs w:val="32"/>
        </w:rPr>
      </w:pPr>
      <w:r w:rsidDel="00000000" w:rsidR="00000000" w:rsidRPr="00000000">
        <w:rPr>
          <w:rtl w:val="0"/>
        </w:rPr>
      </w:r>
    </w:p>
    <w:p w:rsidR="00000000" w:rsidDel="00000000" w:rsidP="00000000" w:rsidRDefault="00000000" w:rsidRPr="00000000" w14:paraId="00000011">
      <w:pPr>
        <w:jc w:val="right"/>
        <w:rPr>
          <w:sz w:val="31"/>
          <w:szCs w:val="31"/>
        </w:rPr>
      </w:pPr>
      <w:r w:rsidDel="00000000" w:rsidR="00000000" w:rsidRPr="00000000">
        <w:rPr>
          <w:sz w:val="31"/>
          <w:szCs w:val="31"/>
          <w:rtl w:val="0"/>
        </w:rPr>
        <w:t xml:space="preserve"> Perú</w:t>
      </w:r>
    </w:p>
    <w:p w:rsidR="00000000" w:rsidDel="00000000" w:rsidP="00000000" w:rsidRDefault="00000000" w:rsidRPr="00000000" w14:paraId="00000012">
      <w:pPr>
        <w:ind w:left="708" w:hanging="708"/>
        <w:jc w:val="right"/>
        <w:rPr>
          <w:sz w:val="31"/>
          <w:szCs w:val="31"/>
        </w:rPr>
      </w:pPr>
      <w:r w:rsidDel="00000000" w:rsidR="00000000" w:rsidRPr="00000000">
        <w:rPr>
          <w:sz w:val="31"/>
          <w:szCs w:val="31"/>
          <w:rtl w:val="0"/>
        </w:rPr>
        <w:t xml:space="preserve">2026</w:t>
      </w:r>
    </w:p>
    <w:p w:rsidR="00000000" w:rsidDel="00000000" w:rsidP="00000000" w:rsidRDefault="00000000" w:rsidRPr="00000000" w14:paraId="00000013">
      <w:pPr>
        <w:spacing w:line="240" w:lineRule="auto"/>
        <w:jc w:val="left"/>
        <w:rPr>
          <w:sz w:val="31"/>
          <w:szCs w:val="3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sz w:val="10"/>
          <w:szCs w:val="10"/>
        </w:rPr>
      </w:pPr>
      <w:r w:rsidDel="00000000" w:rsidR="00000000" w:rsidRPr="00000000">
        <w:rPr>
          <w:rFonts w:ascii="Calibri" w:cs="Calibri" w:eastAsia="Calibri" w:hAnsi="Calibri"/>
          <w:b w:val="1"/>
          <w:bCs w:val="1"/>
          <w:i w:val="0"/>
          <w:iCs w:val="0"/>
          <w:smallCaps w:val="0"/>
          <w:strike w:val="0"/>
          <w:color w:val="404040"/>
          <w:sz w:val="32"/>
          <w:szCs w:val="32"/>
          <w:u w:val="none"/>
          <w:shd w:fill="auto" w:val="clear"/>
          <w:vertAlign w:val="baseline"/>
          <w:rtl w:val="0"/>
        </w:rPr>
        <w:t xml:space="preserve">DOCENTE EVALUADOR</w:t>
      </w:r>
      <w:r w:rsidDel="00000000" w:rsidR="00000000" w:rsidRPr="00000000">
        <w:rPr>
          <w:rtl w:val="0"/>
        </w:rPr>
      </w:r>
    </w:p>
    <w:tbl>
      <w:tblPr>
        <w:tblStyle w:val="Table1"/>
        <w:tblW w:w="9284.0" w:type="dxa"/>
        <w:jc w:val="left"/>
        <w:tblInd w:w="-3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7"/>
        <w:gridCol w:w="7617"/>
        <w:tblGridChange w:id="0">
          <w:tblGrid>
            <w:gridCol w:w="1667"/>
            <w:gridCol w:w="7617"/>
          </w:tblGrid>
        </w:tblGridChange>
      </w:tblGrid>
      <w:tr>
        <w:trPr>
          <w:cantSplit w:val="0"/>
          <w:trHeight w:val="428" w:hRule="atLeast"/>
          <w:tblHeader w:val="0"/>
        </w:trPr>
        <w:tc>
          <w:tcPr>
            <w:vMerge w:val="restart"/>
            <w:vAlign w:val="center"/>
          </w:tcPr>
          <w:p w:rsidR="00000000" w:rsidDel="00000000" w:rsidP="00000000" w:rsidRDefault="00000000" w:rsidRPr="00000000" w14:paraId="00000015">
            <w:pPr>
              <w:spacing w:line="240" w:lineRule="auto"/>
              <w:rPr/>
            </w:pPr>
            <w:r w:rsidDel="00000000" w:rsidR="00000000" w:rsidRPr="00000000">
              <w:rPr>
                <w:rtl w:val="0"/>
              </w:rPr>
              <w:t xml:space="preserve">Docente</w:t>
            </w:r>
          </w:p>
        </w:tc>
        <w:tc>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Hugo Jurek Camilo Tumba Burgos</w:t>
            </w:r>
          </w:p>
        </w:tc>
      </w:tr>
      <w:tr>
        <w:trPr>
          <w:cantSplit w:val="0"/>
          <w:trHeight w:val="251"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fbfbf" w:val="clear"/>
          </w:tcPr>
          <w:p w:rsidR="00000000" w:rsidDel="00000000" w:rsidP="00000000" w:rsidRDefault="00000000" w:rsidRPr="00000000" w14:paraId="00000018">
            <w:pPr>
              <w:jc w:val="center"/>
              <w:rPr/>
            </w:pPr>
            <w:r w:rsidDel="00000000" w:rsidR="00000000" w:rsidRPr="00000000">
              <w:rPr>
                <w:rtl w:val="0"/>
              </w:rPr>
              <w:t xml:space="preserve">Nombre y Apellidos</w:t>
            </w:r>
          </w:p>
        </w:tc>
      </w:tr>
    </w:tbl>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right"/>
        <w:rPr>
          <w:sz w:val="18"/>
          <w:szCs w:val="18"/>
        </w:rPr>
      </w:pPr>
      <w:r w:rsidDel="00000000" w:rsidR="00000000" w:rsidRPr="00000000">
        <w:rPr>
          <w:rtl w:val="0"/>
        </w:rPr>
      </w:r>
    </w:p>
    <w:p w:rsidR="00000000" w:rsidDel="00000000" w:rsidP="00000000" w:rsidRDefault="00000000" w:rsidRPr="00000000" w14:paraId="0000001B">
      <w:pPr>
        <w:jc w:val="right"/>
        <w:rPr>
          <w:sz w:val="18"/>
          <w:szCs w:val="18"/>
        </w:rPr>
      </w:pPr>
      <w:r w:rsidDel="00000000" w:rsidR="00000000" w:rsidRPr="00000000">
        <w:rPr>
          <w:rtl w:val="0"/>
        </w:rPr>
      </w:r>
    </w:p>
    <w:p w:rsidR="00000000" w:rsidDel="00000000" w:rsidP="00000000" w:rsidRDefault="00000000" w:rsidRPr="00000000" w14:paraId="0000001C">
      <w:pPr>
        <w:jc w:val="right"/>
        <w:rPr>
          <w:b w:val="1"/>
          <w:bCs w:val="1"/>
          <w:sz w:val="32"/>
          <w:szCs w:val="32"/>
        </w:rPr>
      </w:pPr>
      <w:r w:rsidDel="00000000" w:rsidR="00000000" w:rsidRPr="00000000">
        <w:rPr>
          <w:sz w:val="18"/>
          <w:szCs w:val="18"/>
          <w:rtl w:val="0"/>
        </w:rPr>
        <w:t xml:space="preserve">                                                              </w:t>
      </w:r>
      <w:r w:rsidDel="00000000" w:rsidR="00000000" w:rsidRPr="00000000">
        <w:rPr>
          <w:rtl w:val="0"/>
        </w:rPr>
        <w:tab/>
        <w:tab/>
      </w:r>
      <w:r w:rsidDel="00000000" w:rsidR="00000000" w:rsidRPr="00000000">
        <w:rPr>
          <w:rtl w:val="0"/>
        </w:rPr>
      </w:r>
    </w:p>
    <w:p w:rsidR="00000000" w:rsidDel="00000000" w:rsidP="00000000" w:rsidRDefault="00000000" w:rsidRPr="00000000" w14:paraId="0000001D">
      <w:pPr>
        <w:rPr>
          <w:b w:val="1"/>
          <w:bCs w:val="1"/>
          <w:sz w:val="32"/>
          <w:szCs w:val="32"/>
        </w:rPr>
      </w:pPr>
      <w:r w:rsidDel="00000000" w:rsidR="00000000" w:rsidRPr="00000000">
        <w:rPr>
          <w:b w:val="1"/>
          <w:bCs w:val="1"/>
          <w:sz w:val="32"/>
          <w:szCs w:val="32"/>
          <w:rtl w:val="0"/>
        </w:rPr>
        <w:t xml:space="preserve">Resumen</w:t>
      </w:r>
    </w:p>
    <w:p w:rsidR="00000000" w:rsidDel="00000000" w:rsidP="00000000" w:rsidRDefault="00000000" w:rsidRPr="00000000" w14:paraId="0000001E">
      <w:pPr>
        <w:jc w:val="both"/>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b w:val="1"/>
          <w:bCs w:val="1"/>
          <w:sz w:val="32"/>
          <w:szCs w:val="32"/>
        </w:rPr>
      </w:pPr>
      <w:r w:rsidDel="00000000" w:rsidR="00000000" w:rsidRPr="00000000">
        <w:rPr>
          <w:rtl w:val="0"/>
        </w:rPr>
      </w:r>
    </w:p>
    <w:p w:rsidR="00000000" w:rsidDel="00000000" w:rsidP="00000000" w:rsidRDefault="00000000" w:rsidRPr="00000000" w14:paraId="0000002B">
      <w:pPr>
        <w:rPr>
          <w:b w:val="1"/>
          <w:bCs w:val="1"/>
          <w:sz w:val="32"/>
          <w:szCs w:val="32"/>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b w:val="1"/>
          <w:bCs w:val="1"/>
          <w:sz w:val="32"/>
          <w:szCs w:val="32"/>
          <w:rtl w:val="0"/>
        </w:rPr>
        <w:t xml:space="preserve">Dedicatoria y Agradecimientos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14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spacing w:line="360" w:lineRule="auto"/>
        <w:rPr>
          <w:b w:val="1"/>
          <w:bCs w:val="1"/>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rPr>
          <w:b w:val="1"/>
          <w:bCs w:val="1"/>
          <w:color w:val="000000"/>
          <w:sz w:val="24"/>
          <w:szCs w:val="24"/>
        </w:rPr>
      </w:pPr>
      <w:r w:rsidDel="00000000" w:rsidR="00000000" w:rsidRPr="00000000">
        <w:rPr>
          <w:rtl w:val="0"/>
        </w:rPr>
      </w:r>
    </w:p>
    <w:p w:rsidR="00000000" w:rsidDel="00000000" w:rsidP="00000000" w:rsidRDefault="00000000" w:rsidRPr="00000000" w14:paraId="00000033">
      <w:pPr>
        <w:rPr>
          <w:b w:val="1"/>
          <w:bCs w:val="1"/>
          <w:color w:val="000000"/>
          <w:sz w:val="24"/>
          <w:szCs w:val="24"/>
        </w:rPr>
      </w:pPr>
      <w:r w:rsidDel="00000000" w:rsidR="00000000" w:rsidRPr="00000000">
        <w:rPr>
          <w:rtl w:val="0"/>
        </w:rPr>
      </w:r>
    </w:p>
    <w:p w:rsidR="00000000" w:rsidDel="00000000" w:rsidP="00000000" w:rsidRDefault="00000000" w:rsidRPr="00000000" w14:paraId="00000034">
      <w:pPr>
        <w:rPr>
          <w:b w:val="1"/>
          <w:bCs w:val="1"/>
          <w:color w:val="000000"/>
          <w:sz w:val="24"/>
          <w:szCs w:val="24"/>
        </w:rPr>
      </w:pPr>
      <w:r w:rsidDel="00000000" w:rsidR="00000000" w:rsidRPr="00000000">
        <w:rPr>
          <w:rtl w:val="0"/>
        </w:rPr>
      </w:r>
    </w:p>
    <w:p w:rsidR="00000000" w:rsidDel="00000000" w:rsidP="00000000" w:rsidRDefault="00000000" w:rsidRPr="00000000" w14:paraId="00000035">
      <w:pPr>
        <w:rPr>
          <w:b w:val="1"/>
          <w:bCs w:val="1"/>
          <w:color w:val="000000"/>
          <w:sz w:val="24"/>
          <w:szCs w:val="24"/>
        </w:rPr>
      </w:pPr>
      <w:r w:rsidDel="00000000" w:rsidR="00000000" w:rsidRPr="00000000">
        <w:rPr>
          <w:rtl w:val="0"/>
        </w:rPr>
      </w:r>
    </w:p>
    <w:p w:rsidR="00000000" w:rsidDel="00000000" w:rsidP="00000000" w:rsidRDefault="00000000" w:rsidRPr="00000000" w14:paraId="00000036">
      <w:pPr>
        <w:rPr>
          <w:b w:val="1"/>
          <w:bCs w:val="1"/>
          <w:color w:val="000000"/>
          <w:sz w:val="24"/>
          <w:szCs w:val="24"/>
        </w:rPr>
      </w:pPr>
      <w:r w:rsidDel="00000000" w:rsidR="00000000" w:rsidRPr="00000000">
        <w:rPr>
          <w:rtl w:val="0"/>
        </w:rPr>
      </w:r>
    </w:p>
    <w:p w:rsidR="00000000" w:rsidDel="00000000" w:rsidP="00000000" w:rsidRDefault="00000000" w:rsidRPr="00000000" w14:paraId="00000037">
      <w:pPr>
        <w:rPr>
          <w:b w:val="1"/>
          <w:bCs w:val="1"/>
          <w:color w:val="000000"/>
          <w:sz w:val="24"/>
          <w:szCs w:val="24"/>
        </w:rPr>
      </w:pPr>
      <w:r w:rsidDel="00000000" w:rsidR="00000000" w:rsidRPr="00000000">
        <w:rPr>
          <w:rtl w:val="0"/>
        </w:rPr>
      </w:r>
    </w:p>
    <w:p w:rsidR="00000000" w:rsidDel="00000000" w:rsidP="00000000" w:rsidRDefault="00000000" w:rsidRPr="00000000" w14:paraId="00000038">
      <w:pPr>
        <w:rPr>
          <w:b w:val="1"/>
          <w:bCs w:val="1"/>
          <w:color w:val="000000"/>
          <w:sz w:val="24"/>
          <w:szCs w:val="24"/>
        </w:rPr>
      </w:pPr>
      <w:r w:rsidDel="00000000" w:rsidR="00000000" w:rsidRPr="00000000">
        <w:rPr>
          <w:rtl w:val="0"/>
        </w:rPr>
      </w:r>
    </w:p>
    <w:p w:rsidR="00000000" w:rsidDel="00000000" w:rsidP="00000000" w:rsidRDefault="00000000" w:rsidRPr="00000000" w14:paraId="00000039">
      <w:pPr>
        <w:rPr>
          <w:b w:val="1"/>
          <w:bCs w:val="1"/>
          <w:color w:val="000000"/>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Tabla de contenidos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Jurado Evaluador </w:t>
        <w:tab/>
        <w:t xml:space="preserve">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w:t>
        <w:tab/>
        <w:t xml:space="preserve">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iii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Dedicatoria y agradecimiento</w:t>
        <w:tab/>
        <w:t xml:space="preserve">iv</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contenidos</w:t>
        <w:tab/>
        <w:t xml:space="preserve">v</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0" w:before="0" w:line="240" w:lineRule="auto"/>
        <w:ind w:left="0" w:right="0" w:firstLine="0"/>
        <w:jc w:val="both"/>
        <w:rPr/>
      </w:pPr>
      <w:r w:rsidDel="00000000" w:rsidR="00000000" w:rsidRPr="00000000">
        <w:rPr>
          <w:rtl w:val="0"/>
        </w:rPr>
      </w:r>
    </w:p>
    <w:sdt>
      <w:sdtPr>
        <w:id w:val="724020184"/>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qb3tjxexf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hyperlink>
          <w:hyperlink w:anchor="_nqb3tjxexf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_nqb3tjxexfj6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3lteqz70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I.1.</w:t>
            </w:r>
          </w:hyperlink>
          <w:hyperlink w:anchor="_f3lteqz70cd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_f3lteqz70cdc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Realidad problemática</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nqt1pqd2kw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I.2.</w:t>
            </w:r>
          </w:hyperlink>
          <w:hyperlink w:anchor="_nnqt1pqd2k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_nnqt1pqd2kwk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de investigación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ipeh5iioh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I.2.1.</w:t>
            </w:r>
          </w:hyperlink>
          <w:hyperlink w:anchor="_fipeh5iioh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_fipeh5iiohd7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 general</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qgt07r33o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I.2.2.</w:t>
            </w:r>
          </w:hyperlink>
          <w:hyperlink w:anchor="_oqgt07r33o2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_oqgt07r33o2n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Preguntas específicas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fixwsrm4z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I.3.</w:t>
            </w:r>
          </w:hyperlink>
          <w:hyperlink w:anchor="_cfixwsrm4zc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_cfixwsrm4zc1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 la investigación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9qvrdvgwj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I.3.1.</w:t>
            </w:r>
          </w:hyperlink>
          <w:hyperlink w:anchor="_s9qvrdvgwj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_s9qvrdvgwjm3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o0sj6nt9q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I.3.2.</w:t>
            </w:r>
          </w:hyperlink>
          <w:hyperlink w:anchor="_xo0sj6nt9qm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_xo0sj6nt9qm6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o50dkst4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I.4.</w:t>
            </w:r>
          </w:hyperlink>
          <w:hyperlink w:anchor="_7o50dkst4k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_7o50dkst4kf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de la investigación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rz0a5mzkb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hyperlink>
          <w:hyperlink w:anchor="_vrz0a5mzkbm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_vrz0a5mzkbmo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6aqo9u5o9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r>
          </w:hyperlink>
          <w:hyperlink w:anchor="_p6aqo9u5o90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_p6aqo9u5o90l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y RECOMENDACIONES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pj4pqbsy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III.1.</w:t>
            </w:r>
          </w:hyperlink>
          <w:hyperlink w:anchor="_1pj4pqbsyx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_1pj4pqbsyx3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6xvejyq06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III.2.</w:t>
            </w:r>
          </w:hyperlink>
          <w:hyperlink w:anchor="_96xvejyq0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_96xvejyq06g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tmbhhiyn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referencias</w:t>
              <w:tab/>
              <w:t xml:space="preserve">2</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137" w:before="0" w:line="360" w:lineRule="auto"/>
        <w:ind w:left="-14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505"/>
        </w:tabs>
        <w:spacing w:after="137" w:before="0" w:line="360" w:lineRule="auto"/>
        <w:ind w:left="-142" w:right="0" w:firstLine="0"/>
        <w:jc w:val="both"/>
        <w:rPr/>
      </w:pPr>
      <w:r w:rsidDel="00000000" w:rsidR="00000000" w:rsidRPr="00000000">
        <w:rPr>
          <w:rtl w:val="0"/>
        </w:rPr>
      </w:r>
    </w:p>
    <w:p w:rsidR="00000000" w:rsidDel="00000000" w:rsidP="00000000" w:rsidRDefault="00000000" w:rsidRPr="00000000" w14:paraId="00000062">
      <w:pPr>
        <w:pStyle w:val="Heading1"/>
        <w:numPr>
          <w:ilvl w:val="0"/>
          <w:numId w:val="10"/>
        </w:numPr>
        <w:ind w:left="360" w:hanging="360"/>
        <w:rPr/>
      </w:pPr>
      <w:bookmarkStart w:colFirst="0" w:colLast="0" w:name="_nqb3tjxexfj6" w:id="0"/>
      <w:bookmarkEnd w:id="0"/>
      <w:r w:rsidDel="00000000" w:rsidR="00000000" w:rsidRPr="00000000">
        <w:rPr>
          <w:rFonts w:ascii="Calibri" w:cs="Calibri" w:eastAsia="Calibri" w:hAnsi="Calibri"/>
          <w:rtl w:val="0"/>
        </w:rPr>
        <w:t xml:space="preserve">INTRODUCCIÓN </w:t>
      </w:r>
    </w:p>
    <w:p w:rsidR="00000000" w:rsidDel="00000000" w:rsidP="00000000" w:rsidRDefault="00000000" w:rsidRPr="00000000" w14:paraId="00000063">
      <w:pPr>
        <w:pStyle w:val="Heading2"/>
        <w:numPr>
          <w:ilvl w:val="1"/>
          <w:numId w:val="10"/>
        </w:numPr>
        <w:ind w:left="964" w:hanging="604"/>
        <w:rPr/>
      </w:pPr>
      <w:bookmarkStart w:colFirst="0" w:colLast="0" w:name="_f3lteqz70cdc" w:id="1"/>
      <w:bookmarkEnd w:id="1"/>
      <w:r w:rsidDel="00000000" w:rsidR="00000000" w:rsidRPr="00000000">
        <w:rPr>
          <w:rFonts w:ascii="Calibri" w:cs="Calibri" w:eastAsia="Calibri" w:hAnsi="Calibri"/>
          <w:rtl w:val="0"/>
        </w:rPr>
        <w:t xml:space="preserve">Realidad problemática </w:t>
      </w:r>
    </w:p>
    <w:p w:rsidR="00000000" w:rsidDel="00000000" w:rsidP="00000000" w:rsidRDefault="00000000" w:rsidRPr="00000000" w14:paraId="00000064">
      <w:pPr>
        <w:spacing w:after="240" w:before="240" w:lineRule="auto"/>
        <w:rPr/>
      </w:pPr>
      <w:r w:rsidDel="00000000" w:rsidR="00000000" w:rsidRPr="00000000">
        <w:rPr>
          <w:rtl w:val="0"/>
        </w:rPr>
        <w:t xml:space="preserve">En el contexto actual del sistema de salud en Lima, Perú, la correcta gestión de la información es un pilar fundamental para la atención del paciente. Si bien la institución hospitalaria ya cuenta con un sistema web desarrollado e implementado para la gestión de reservas de citas médicas, el almacenamiento y procesamiento de su base de datos se realiza en una infraestructura local (on-premise). Esta arquitectura tradicional representa una vulnerabilidad crítica para la continuidad del servicio.</w:t>
      </w:r>
    </w:p>
    <w:p w:rsidR="00000000" w:rsidDel="00000000" w:rsidP="00000000" w:rsidRDefault="00000000" w:rsidRPr="00000000" w14:paraId="00000065">
      <w:pPr>
        <w:spacing w:after="240" w:before="240" w:lineRule="auto"/>
        <w:rPr/>
      </w:pPr>
      <w:r w:rsidDel="00000000" w:rsidR="00000000" w:rsidRPr="00000000">
        <w:rPr>
          <w:rtl w:val="0"/>
        </w:rPr>
        <w:t xml:space="preserve">El principal problema identificado es el alto riesgo de pérdida de datos clínicos y administrativos (agendas, historiales, datos de pacientes) debido a la dependencia de servidores físicos locales. Estos equipos están expuestos a fallas de hardware, cortes de energía prolongados, desastres físicos o ciberataques (como ransomware). Además, la gestión manual de las copias de seguridad locales resulta ineficiente, propensa a errores humanos y carece de redundancia.</w:t>
      </w:r>
    </w:p>
    <w:p w:rsidR="00000000" w:rsidDel="00000000" w:rsidP="00000000" w:rsidRDefault="00000000" w:rsidRPr="00000000" w14:paraId="00000066">
      <w:pPr>
        <w:spacing w:after="240" w:before="240" w:lineRule="auto"/>
        <w:rPr/>
      </w:pPr>
      <w:r w:rsidDel="00000000" w:rsidR="00000000" w:rsidRPr="00000000">
        <w:rPr>
          <w:rtl w:val="0"/>
        </w:rPr>
        <w:t xml:space="preserve">La carencia de una arquitectura en la nube bajo el modelo PaaS (Platform as a Service) impide que la institución aproveche herramientas automatizadas de resguardo. Al mantener la base de datos de manera local, la recuperación ante un desastre es lenta y puede resultar en la pérdida irreversible de la información registrada entre el último backup manual y el momento de la falla.</w:t>
      </w:r>
    </w:p>
    <w:p w:rsidR="00000000" w:rsidDel="00000000" w:rsidP="00000000" w:rsidRDefault="00000000" w:rsidRPr="00000000" w14:paraId="00000067">
      <w:pPr>
        <w:spacing w:after="240" w:before="240" w:lineRule="auto"/>
        <w:rPr/>
      </w:pPr>
      <w:r w:rsidDel="00000000" w:rsidR="00000000" w:rsidRPr="00000000">
        <w:rPr>
          <w:rtl w:val="0"/>
        </w:rPr>
        <w:t xml:space="preserve">En consecuencia, se evidencia la necesidad técnica de migrar la base de datos (y la infraestructura subyacente) del sistema web existente hacia los servicios gestionados de Microsoft Azure. Esta migración hacia un entorno PaaS permitirá implementar mecanismos de copias de seguridad automatizadas, previniendo la pérdida de datos y garantizando la integridad de la información sin requerir la administración manual de servidores.</w:t>
      </w:r>
      <w:r w:rsidDel="00000000" w:rsidR="00000000" w:rsidRPr="00000000">
        <w:rPr>
          <w:rtl w:val="0"/>
        </w:rPr>
      </w:r>
    </w:p>
    <w:p w:rsidR="00000000" w:rsidDel="00000000" w:rsidP="00000000" w:rsidRDefault="00000000" w:rsidRPr="00000000" w14:paraId="00000068">
      <w:pPr>
        <w:pStyle w:val="Heading2"/>
        <w:keepNext w:val="0"/>
        <w:keepLines w:val="0"/>
        <w:numPr>
          <w:ilvl w:val="1"/>
          <w:numId w:val="10"/>
        </w:numPr>
        <w:ind w:left="964" w:hanging="607"/>
        <w:rPr/>
      </w:pPr>
      <w:bookmarkStart w:colFirst="0" w:colLast="0" w:name="_nnqt1pqd2kwk" w:id="2"/>
      <w:bookmarkEnd w:id="2"/>
      <w:r w:rsidDel="00000000" w:rsidR="00000000" w:rsidRPr="00000000">
        <w:rPr>
          <w:rFonts w:ascii="Calibri" w:cs="Calibri" w:eastAsia="Calibri" w:hAnsi="Calibri"/>
          <w:rtl w:val="0"/>
        </w:rPr>
        <w:t xml:space="preserve">Pregunta de investigación</w:t>
      </w:r>
    </w:p>
    <w:p w:rsidR="00000000" w:rsidDel="00000000" w:rsidP="00000000" w:rsidRDefault="00000000" w:rsidRPr="00000000" w14:paraId="00000069">
      <w:pPr>
        <w:pStyle w:val="Heading3"/>
        <w:numPr>
          <w:ilvl w:val="2"/>
          <w:numId w:val="10"/>
        </w:numPr>
        <w:ind w:left="1588" w:hanging="624"/>
        <w:rPr/>
      </w:pPr>
      <w:bookmarkStart w:colFirst="0" w:colLast="0" w:name="_fipeh5iiohd7" w:id="3"/>
      <w:bookmarkEnd w:id="3"/>
      <w:r w:rsidDel="00000000" w:rsidR="00000000" w:rsidRPr="00000000">
        <w:rPr>
          <w:rFonts w:ascii="Calibri" w:cs="Calibri" w:eastAsia="Calibri" w:hAnsi="Calibri"/>
          <w:rtl w:val="0"/>
        </w:rPr>
        <w:t xml:space="preserve">Pregunta general</w:t>
      </w:r>
    </w:p>
    <w:p w:rsidR="00000000" w:rsidDel="00000000" w:rsidP="00000000" w:rsidRDefault="00000000" w:rsidRPr="00000000" w14:paraId="0000006A">
      <w:pPr>
        <w:rPr/>
      </w:pPr>
      <w:r w:rsidDel="00000000" w:rsidR="00000000" w:rsidRPr="00000000">
        <w:rPr>
          <w:rtl w:val="0"/>
        </w:rPr>
        <w:t xml:space="preserve">¿De qué manera la migración de la base de datos de un sistema web existente hacia la plataforma PaaS de Microsoft Azure previene la pérdida de datos críticos en el entorno de citas médicas hospitalarias?  </w:t>
      </w:r>
      <w:r w:rsidDel="00000000" w:rsidR="00000000" w:rsidRPr="00000000">
        <w:rPr>
          <w:rtl w:val="0"/>
        </w:rPr>
      </w:r>
    </w:p>
    <w:p w:rsidR="00000000" w:rsidDel="00000000" w:rsidP="00000000" w:rsidRDefault="00000000" w:rsidRPr="00000000" w14:paraId="0000006B">
      <w:pPr>
        <w:pStyle w:val="Heading3"/>
        <w:numPr>
          <w:ilvl w:val="2"/>
          <w:numId w:val="10"/>
        </w:numPr>
        <w:ind w:left="1588" w:hanging="624"/>
        <w:rPr/>
      </w:pPr>
      <w:bookmarkStart w:colFirst="0" w:colLast="0" w:name="_oqgt07r33o2n" w:id="4"/>
      <w:bookmarkEnd w:id="4"/>
      <w:r w:rsidDel="00000000" w:rsidR="00000000" w:rsidRPr="00000000">
        <w:rPr>
          <w:rFonts w:ascii="Calibri" w:cs="Calibri" w:eastAsia="Calibri" w:hAnsi="Calibri"/>
          <w:rtl w:val="0"/>
        </w:rPr>
        <w:t xml:space="preserve">Preguntas específicas </w:t>
      </w:r>
    </w:p>
    <w:p w:rsidR="00000000" w:rsidDel="00000000" w:rsidP="00000000" w:rsidRDefault="00000000" w:rsidRPr="00000000" w14:paraId="0000006C">
      <w:pPr>
        <w:rPr/>
      </w:pPr>
      <w:r w:rsidDel="00000000" w:rsidR="00000000" w:rsidRPr="00000000">
        <w:rPr>
          <w:b w:val="1"/>
          <w:bCs w:val="1"/>
          <w:rtl w:val="0"/>
        </w:rPr>
        <w:t xml:space="preserve">¿Qué procesos</w:t>
      </w:r>
      <w:r w:rsidDel="00000000" w:rsidR="00000000" w:rsidRPr="00000000">
        <w:rPr>
          <w:rtl w:val="0"/>
        </w:rPr>
        <w:t xml:space="preserve"> manuales y herramientas de exportación garantizan la transferencia segura e íntegra de los datos desde el servidor local hacia el entorno PaaS sin afectar la consistencia de la información?</w:t>
      </w:r>
    </w:p>
    <w:p w:rsidR="00000000" w:rsidDel="00000000" w:rsidP="00000000" w:rsidRDefault="00000000" w:rsidRPr="00000000" w14:paraId="0000006D">
      <w:pPr>
        <w:rPr/>
      </w:pPr>
      <w:r w:rsidDel="00000000" w:rsidR="00000000" w:rsidRPr="00000000">
        <w:rPr>
          <w:b w:val="1"/>
          <w:bCs w:val="1"/>
          <w:rtl w:val="0"/>
        </w:rPr>
        <w:t xml:space="preserve">¿Cómo se debe </w:t>
      </w:r>
      <w:r w:rsidDel="00000000" w:rsidR="00000000" w:rsidRPr="00000000">
        <w:rPr>
          <w:rtl w:val="0"/>
        </w:rPr>
        <w:t xml:space="preserve">reconfigurar la conexión del sistema web existente para integrarse de forma segura con los servicios gestionados de base de datos en Azure?</w:t>
      </w:r>
    </w:p>
    <w:p w:rsidR="00000000" w:rsidDel="00000000" w:rsidP="00000000" w:rsidRDefault="00000000" w:rsidRPr="00000000" w14:paraId="0000006E">
      <w:pPr>
        <w:rPr/>
      </w:pPr>
      <w:r w:rsidDel="00000000" w:rsidR="00000000" w:rsidRPr="00000000">
        <w:rPr>
          <w:b w:val="1"/>
          <w:bCs w:val="1"/>
          <w:rtl w:val="0"/>
        </w:rPr>
        <w:t xml:space="preserve">¿Qué políticas </w:t>
      </w:r>
      <w:r w:rsidDel="00000000" w:rsidR="00000000" w:rsidRPr="00000000">
        <w:rPr>
          <w:rtl w:val="0"/>
        </w:rPr>
        <w:t xml:space="preserve">de copias de seguridad automatizadas deben configurarse en la plataforma PaaS para minimizar la pérdida de datos dentro de los límites de un entorno académico?</w:t>
      </w:r>
    </w:p>
    <w:p w:rsidR="00000000" w:rsidDel="00000000" w:rsidP="00000000" w:rsidRDefault="00000000" w:rsidRPr="00000000" w14:paraId="0000006F">
      <w:pPr>
        <w:rPr/>
      </w:pPr>
      <w:r w:rsidDel="00000000" w:rsidR="00000000" w:rsidRPr="00000000">
        <w:rPr>
          <w:b w:val="1"/>
          <w:bCs w:val="1"/>
          <w:rtl w:val="0"/>
        </w:rPr>
        <w:t xml:space="preserve">¿De qué forma </w:t>
      </w:r>
      <w:r w:rsidDel="00000000" w:rsidR="00000000" w:rsidRPr="00000000">
        <w:rPr>
          <w:rtl w:val="0"/>
        </w:rPr>
        <w:t xml:space="preserve">la habilitación de almacenamiento con redundancia local (LRS) en Azure protege la base de datos frente a fallos de hardware en el servidor físico?</w:t>
      </w:r>
    </w:p>
    <w:p w:rsidR="00000000" w:rsidDel="00000000" w:rsidP="00000000" w:rsidRDefault="00000000" w:rsidRPr="00000000" w14:paraId="00000070">
      <w:pPr>
        <w:rPr>
          <w:b w:val="1"/>
          <w:bCs w:val="1"/>
        </w:rPr>
      </w:pPr>
      <w:r w:rsidDel="00000000" w:rsidR="00000000" w:rsidRPr="00000000">
        <w:rPr>
          <w:b w:val="1"/>
          <w:bCs w:val="1"/>
          <w:rtl w:val="0"/>
        </w:rPr>
        <w:t xml:space="preserve">¿Cómo se </w:t>
      </w:r>
      <w:r w:rsidDel="00000000" w:rsidR="00000000" w:rsidRPr="00000000">
        <w:rPr>
          <w:rtl w:val="0"/>
        </w:rPr>
        <w:t xml:space="preserve">ejecutan los protocolos de restauración desde la nube para asegurar una recuperación rápida de las agendas médicas ante una eliminación accidental o corrupción de datos?</w:t>
      </w:r>
      <w:r w:rsidDel="00000000" w:rsidR="00000000" w:rsidRPr="00000000">
        <w:rPr>
          <w:rtl w:val="0"/>
        </w:rPr>
      </w:r>
    </w:p>
    <w:p w:rsidR="00000000" w:rsidDel="00000000" w:rsidP="00000000" w:rsidRDefault="00000000" w:rsidRPr="00000000" w14:paraId="00000071">
      <w:pPr>
        <w:pStyle w:val="Heading2"/>
        <w:keepNext w:val="0"/>
        <w:keepLines w:val="0"/>
        <w:numPr>
          <w:ilvl w:val="1"/>
          <w:numId w:val="10"/>
        </w:numPr>
        <w:ind w:left="964" w:hanging="607"/>
        <w:rPr/>
      </w:pPr>
      <w:bookmarkStart w:colFirst="0" w:colLast="0" w:name="_cfixwsrm4zc1" w:id="5"/>
      <w:bookmarkEnd w:id="5"/>
      <w:r w:rsidDel="00000000" w:rsidR="00000000" w:rsidRPr="00000000">
        <w:rPr>
          <w:rFonts w:ascii="Calibri" w:cs="Calibri" w:eastAsia="Calibri" w:hAnsi="Calibri"/>
          <w:rtl w:val="0"/>
        </w:rPr>
        <w:t xml:space="preserve">Objetivos de la investigación</w:t>
      </w:r>
    </w:p>
    <w:p w:rsidR="00000000" w:rsidDel="00000000" w:rsidP="00000000" w:rsidRDefault="00000000" w:rsidRPr="00000000" w14:paraId="00000072">
      <w:pPr>
        <w:pStyle w:val="Heading3"/>
        <w:numPr>
          <w:ilvl w:val="2"/>
          <w:numId w:val="10"/>
        </w:numPr>
        <w:ind w:left="1588" w:hanging="624"/>
        <w:rPr/>
      </w:pPr>
      <w:bookmarkStart w:colFirst="0" w:colLast="0" w:name="_s9qvrdvgwjm3" w:id="6"/>
      <w:bookmarkEnd w:id="6"/>
      <w:r w:rsidDel="00000000" w:rsidR="00000000" w:rsidRPr="00000000">
        <w:rPr>
          <w:rFonts w:ascii="Calibri" w:cs="Calibri" w:eastAsia="Calibri" w:hAnsi="Calibri"/>
          <w:rtl w:val="0"/>
        </w:rPr>
        <w:t xml:space="preserve">Objetivo general </w:t>
      </w:r>
    </w:p>
    <w:p w:rsidR="00000000" w:rsidDel="00000000" w:rsidP="00000000" w:rsidRDefault="00000000" w:rsidRPr="00000000" w14:paraId="00000073">
      <w:pPr>
        <w:spacing w:after="240" w:before="240" w:lineRule="auto"/>
        <w:rPr/>
      </w:pPr>
      <w:r w:rsidDel="00000000" w:rsidR="00000000" w:rsidRPr="00000000">
        <w:rPr>
          <w:rtl w:val="0"/>
        </w:rPr>
        <w:t xml:space="preserve">Implementar una arquitectura de servicios gestionados en Microsoft Azure (PaaS) para la migración y respaldo continuo de la base de datos de un sistema web de citas médicas existente, con el fin de prevenir la pérdida de información y mejorar la disponibilidad del servicio.</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rtl w:val="0"/>
        </w:rPr>
        <w:t xml:space="preserve">A.1. Evaluar la estructura y volumen de la base de datos local actual para diseñar una estrategia de migración planificada y sin pérdida de información.</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A.2 Ejecutar la migración de los datos clínicos y administrativos hacia el servicio gestionado TiDB Serverless (compatible con MySQL) utilizando métodos de exportación e importación segura.</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A.3. </w:t>
      </w:r>
      <w:r w:rsidDel="00000000" w:rsidR="00000000" w:rsidRPr="00000000">
        <w:rPr>
          <w:rtl w:val="0"/>
        </w:rPr>
        <w:t xml:space="preserve">Reconfigurar</w:t>
      </w:r>
      <w:r w:rsidDel="00000000" w:rsidR="00000000" w:rsidRPr="00000000">
        <w:rPr>
          <w:rtl w:val="0"/>
        </w:rPr>
        <w:t xml:space="preserve"> las credenciales y cadenas de conexión del código fuente del sistema web existente para enlazarlo de manera segura con la nueva infraestructura en PaaS mediante variables de entorno.</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A.4. Diseñar e implementar políticas de copias de seguridad automatizadas y cifradas en Azure para garantizar la protección continua de los datos.</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A.5. Validar la tolerancia a fallos del nuevo entorno mediante pruebas funcionales y simulacros de restauración de base de datos desde el portal de Azure.</w:t>
      </w:r>
      <w:r w:rsidDel="00000000" w:rsidR="00000000" w:rsidRPr="00000000">
        <w:rPr>
          <w:rtl w:val="0"/>
        </w:rPr>
      </w:r>
    </w:p>
    <w:p w:rsidR="00000000" w:rsidDel="00000000" w:rsidP="00000000" w:rsidRDefault="00000000" w:rsidRPr="00000000" w14:paraId="0000007A">
      <w:pPr>
        <w:pStyle w:val="Heading2"/>
        <w:keepNext w:val="0"/>
        <w:keepLines w:val="0"/>
        <w:numPr>
          <w:ilvl w:val="1"/>
          <w:numId w:val="10"/>
        </w:numPr>
        <w:ind w:left="964" w:hanging="607"/>
        <w:rPr/>
      </w:pPr>
      <w:bookmarkStart w:colFirst="0" w:colLast="0" w:name="_7o50dkst4kf" w:id="7"/>
      <w:bookmarkEnd w:id="7"/>
      <w:r w:rsidDel="00000000" w:rsidR="00000000" w:rsidRPr="00000000">
        <w:rPr>
          <w:rFonts w:ascii="Calibri" w:cs="Calibri" w:eastAsia="Calibri" w:hAnsi="Calibri"/>
          <w:rtl w:val="0"/>
        </w:rPr>
        <w:t xml:space="preserve">Alcance de la investigación </w:t>
      </w:r>
    </w:p>
    <w:p w:rsidR="00000000" w:rsidDel="00000000" w:rsidP="00000000" w:rsidRDefault="00000000" w:rsidRPr="00000000" w14:paraId="0000007B">
      <w:pPr>
        <w:spacing w:after="240" w:before="240" w:lineRule="auto"/>
        <w:rPr/>
      </w:pPr>
      <w:r w:rsidDel="00000000" w:rsidR="00000000" w:rsidRPr="00000000">
        <w:rPr>
          <w:rtl w:val="0"/>
        </w:rPr>
        <w:t xml:space="preserve">El presente proyecto se enfoca exclusivamente en la arquitectura de infraestructura, seguridad de datos y procesos de migración a la nube (Cloud Computing) dentro de los parámetros de una suscripción Azure for Students. Queda fuera del alcance el desarrollo o modificación de las funcionalidades de usuario del sistema web, ya que el software se encuentra previamente construido y operativo.</w:t>
      </w:r>
    </w:p>
    <w:p w:rsidR="00000000" w:rsidDel="00000000" w:rsidP="00000000" w:rsidRDefault="00000000" w:rsidRPr="00000000" w14:paraId="0000007C">
      <w:pPr>
        <w:spacing w:after="240" w:before="240" w:lineRule="auto"/>
        <w:rPr/>
      </w:pPr>
      <w:r w:rsidDel="00000000" w:rsidR="00000000" w:rsidRPr="00000000">
        <w:rPr>
          <w:rtl w:val="0"/>
        </w:rPr>
        <w:t xml:space="preserve">El alcance comprende:</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b w:val="1"/>
          <w:bCs w:val="1"/>
          <w:rtl w:val="0"/>
        </w:rPr>
        <w:t xml:space="preserve">Auditoría de datos:</w:t>
      </w:r>
      <w:r w:rsidDel="00000000" w:rsidR="00000000" w:rsidRPr="00000000">
        <w:rPr>
          <w:rtl w:val="0"/>
        </w:rPr>
        <w:t xml:space="preserve"> Análisis de la base de datos local y limpieza de registros previos a la migración.</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b w:val="1"/>
          <w:bCs w:val="1"/>
          <w:rtl w:val="0"/>
        </w:rPr>
        <w:t>Migración a PaaS: Traslado de la base de datos hacia los servicio PaaS TiDB Serverless, compatible con MySQL.</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b w:val="1"/>
          <w:bCs w:val="1"/>
          <w:rtl w:val="0"/>
        </w:rPr>
        <w:t xml:space="preserve">Despliegue del Sistema:</w:t>
      </w:r>
      <w:r w:rsidDel="00000000" w:rsidR="00000000" w:rsidRPr="00000000">
        <w:rPr>
          <w:rtl w:val="0"/>
        </w:rPr>
        <w:t xml:space="preserve"> Migración del alojamiento del aplicativo web hacia </w:t>
      </w:r>
      <w:r w:rsidDel="00000000" w:rsidR="00000000" w:rsidRPr="00000000">
        <w:rPr>
          <w:i w:val="1"/>
          <w:iCs w:val="1"/>
          <w:rtl w:val="0"/>
        </w:rPr>
        <w:t xml:space="preserve">Azure App Service</w:t>
      </w:r>
      <w:r w:rsidDel="00000000" w:rsidR="00000000" w:rsidRPr="00000000">
        <w:rPr>
          <w:rtl w:val="0"/>
        </w:rPr>
        <w:t xml:space="preserve"> en una capa básica para unificar la arquitectura en la nube.</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bCs w:val="1"/>
          <w:rtl w:val="0"/>
        </w:rPr>
        <w:t xml:space="preserve">Configuración de Backups:</w:t>
      </w:r>
      <w:r w:rsidDel="00000000" w:rsidR="00000000" w:rsidRPr="00000000">
        <w:rPr>
          <w:rtl w:val="0"/>
        </w:rPr>
        <w:t xml:space="preserve"> Habilitación de copias de seguridad automatizadas gestionadas por el proveedor, con políticas de retención a corto plazo (ej. 7 a 35 días) viables dentro de la suscripción académica.</w:t>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Implementación de cifrado de datos predeterminado y protección de credenciales mediante configuraciones de la aplicación web.</w:t>
      </w:r>
      <w:r w:rsidDel="00000000" w:rsidR="00000000" w:rsidRPr="00000000">
        <w:rPr>
          <w:rtl w:val="0"/>
        </w:rPr>
      </w:r>
    </w:p>
    <w:p w:rsidR="00000000" w:rsidDel="00000000" w:rsidP="00000000" w:rsidRDefault="00000000" w:rsidRPr="00000000" w14:paraId="00000082">
      <w:pPr>
        <w:pStyle w:val="Heading1"/>
        <w:numPr>
          <w:ilvl w:val="0"/>
          <w:numId w:val="10"/>
        </w:numPr>
        <w:ind w:left="360" w:hanging="360"/>
        <w:rPr/>
      </w:pPr>
      <w:bookmarkStart w:colFirst="0" w:colLast="0" w:name="_vrz0a5mzkbmo" w:id="8"/>
      <w:bookmarkEnd w:id="8"/>
      <w:r w:rsidDel="00000000" w:rsidR="00000000" w:rsidRPr="00000000">
        <w:rPr>
          <w:rFonts w:ascii="Calibri" w:cs="Calibri" w:eastAsia="Calibri" w:hAnsi="Calibri"/>
          <w:rtl w:val="0"/>
        </w:rPr>
        <w:t xml:space="preserve">DESARROLLO</w:t>
      </w:r>
    </w:p>
    <w:p w:rsidR="00000000" w:rsidDel="00000000" w:rsidP="00000000" w:rsidRDefault="00000000" w:rsidRPr="00000000" w14:paraId="00000083">
      <w:pPr>
        <w:pStyle w:val="Heading2"/>
        <w:keepNext w:val="0"/>
        <w:keepLines w:val="0"/>
        <w:numPr>
          <w:ilvl w:val="1"/>
          <w:numId w:val="10"/>
        </w:numPr>
        <w:ind w:left="964" w:hanging="607"/>
      </w:pPr>
      <w:bookmarkStart w:colFirst="0" w:colLast="0" w:name="_9h43u8hpr2iq" w:id="9"/>
      <w:bookmarkEnd w:id="9"/>
      <w:r w:rsidDel="00000000" w:rsidR="00000000" w:rsidRPr="00000000">
        <w:rPr>
          <w:rFonts w:ascii="Calibri" w:cs="Calibri" w:eastAsia="Calibri" w:hAnsi="Calibri"/>
          <w:rtl w:val="0"/>
        </w:rPr>
        <w:t xml:space="preserve">Plan de mitigación</w:t>
      </w:r>
    </w:p>
    <w:p w:rsidR="00000000" w:rsidDel="00000000" w:rsidP="00000000" w:rsidRDefault="00000000" w:rsidRPr="00000000" w14:paraId="00000084">
      <w:pPr>
        <w:ind w:left="964" w:firstLine="0"/>
        <w:rPr/>
      </w:pPr>
      <w:r w:rsidDel="00000000" w:rsidR="00000000" w:rsidRPr="00000000">
        <w:rPr>
          <w:rtl w:val="0"/>
        </w:rPr>
        <w:t xml:space="preserve">Este plan define cómo se reducirán los riesgos asociados al proyecto aprovechando las funciones básicas y económicas de los servicios PaaS en Azure Students.</w:t>
      </w:r>
    </w:p>
    <w:p w:rsidR="00000000" w:rsidDel="00000000" w:rsidP="00000000" w:rsidRDefault="00000000" w:rsidRPr="00000000" w14:paraId="00000085">
      <w:pPr>
        <w:ind w:left="964" w:firstLine="0"/>
        <w:rPr/>
      </w:pPr>
      <w:r w:rsidDel="00000000" w:rsidR="00000000" w:rsidRPr="00000000">
        <w:rPr>
          <w:b w:val="1"/>
          <w:bCs w:val="1"/>
          <w:rtl w:val="0"/>
        </w:rPr>
        <w:t xml:space="preserve">Riesgo 1: Eliminación accidental de citas o corrupción de datos. Impacto: Alto</w:t>
      </w:r>
      <w:r w:rsidDel="00000000" w:rsidR="00000000" w:rsidRPr="00000000">
        <w:rPr>
          <w:rtl w:val="0"/>
        </w:rPr>
        <w:t xml:space="preserve">. Mitigación: Se utilizarán las copias de seguridad automáticas (Backups periódicos) que vienen incluidas por defecto en los TiDB Serverless. En caso de error, el equipo </w:t>
      </w:r>
      <w:r w:rsidDel="00000000" w:rsidR="00000000" w:rsidRPr="00000000">
        <w:rPr>
          <w:rtl w:val="0"/>
        </w:rPr>
        <w:t xml:space="preserve">restaurará</w:t>
      </w:r>
      <w:r w:rsidDel="00000000" w:rsidR="00000000" w:rsidRPr="00000000">
        <w:rPr>
          <w:rtl w:val="0"/>
        </w:rPr>
        <w:t xml:space="preserve"> manualmente la última copia de seguridad disponible desde el portal, minimizando la pérdida de información.</w:t>
      </w:r>
    </w:p>
    <w:p w:rsidR="00000000" w:rsidDel="00000000" w:rsidP="00000000" w:rsidRDefault="00000000" w:rsidRPr="00000000" w14:paraId="00000086">
      <w:pPr>
        <w:ind w:left="964" w:firstLine="0"/>
        <w:rPr/>
      </w:pPr>
      <w:r w:rsidDel="00000000" w:rsidR="00000000" w:rsidRPr="00000000">
        <w:rPr>
          <w:b w:val="1"/>
          <w:bCs w:val="1"/>
          <w:rtl w:val="0"/>
        </w:rPr>
        <w:t xml:space="preserve">Riesgo 2: Caída temporal del servicio en la nube o falla del servidor físico de Microsoft. Impacto: Medio. Mitigación:</w:t>
      </w:r>
      <w:r w:rsidDel="00000000" w:rsidR="00000000" w:rsidRPr="00000000">
        <w:rPr>
          <w:rtl w:val="0"/>
        </w:rPr>
        <w:t xml:space="preserve"> Se mitigará este riesgo utilizando las réplicas automáticas de TiDB Serverless. TiDB mantiene 3 copias de los datos distribuidas en su infraestructura, protegiendo la información ante fallas de hardware sin configuración adicional.</w:t>
      </w:r>
    </w:p>
    <w:p w:rsidR="00000000" w:rsidDel="00000000" w:rsidP="00000000" w:rsidRDefault="00000000" w:rsidRPr="00000000" w14:paraId="00000087">
      <w:pPr>
        <w:ind w:left="964" w:firstLine="0"/>
        <w:rPr/>
      </w:pPr>
      <w:r w:rsidDel="00000000" w:rsidR="00000000" w:rsidRPr="00000000">
        <w:rPr>
          <w:b w:val="1"/>
          <w:bCs w:val="1"/>
          <w:rtl w:val="0"/>
        </w:rPr>
        <w:t xml:space="preserve">Riesgo 3: Inconsistencia de datos durante el proceso de migración. Impacto: Alto. Mitigación:</w:t>
      </w:r>
      <w:r w:rsidDel="00000000" w:rsidR="00000000" w:rsidRPr="00000000">
        <w:rPr>
          <w:rtl w:val="0"/>
        </w:rPr>
        <w:t xml:space="preserve"> Se ejecutará una migración planificada fuera de línea (Offline Migration). El equipo exportará la base de datos local de forma manual y la importará al servidor de Azure durante un horario de inactividad programado, garantizando que no se crucen datos durante el proceso.</w:t>
      </w:r>
      <w:r w:rsidDel="00000000" w:rsidR="00000000" w:rsidRPr="00000000">
        <w:rPr>
          <w:rtl w:val="0"/>
        </w:rPr>
      </w:r>
    </w:p>
    <w:p w:rsidR="00000000" w:rsidDel="00000000" w:rsidP="00000000" w:rsidRDefault="00000000" w:rsidRPr="00000000" w14:paraId="00000088">
      <w:pPr>
        <w:pStyle w:val="Heading2"/>
        <w:keepNext w:val="0"/>
        <w:keepLines w:val="0"/>
        <w:numPr>
          <w:ilvl w:val="1"/>
          <w:numId w:val="10"/>
        </w:numPr>
        <w:ind w:left="964" w:hanging="604"/>
      </w:pPr>
      <w:bookmarkStart w:colFirst="0" w:colLast="0" w:name="_jyae2k7xg2w1" w:id="10"/>
      <w:bookmarkEnd w:id="10"/>
      <w:r w:rsidDel="00000000" w:rsidR="00000000" w:rsidRPr="00000000">
        <w:rPr>
          <w:rFonts w:ascii="Calibri" w:cs="Calibri" w:eastAsia="Calibri" w:hAnsi="Calibri"/>
          <w:rtl w:val="0"/>
        </w:rPr>
        <w:t xml:space="preserve">Protocolo de seguridad de la información</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Para proteger la base de datos en su nuevo entorno PaaS, se aplicarán medidas de seguridad prácticas y acordes al alcance del proyecto académico:</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b w:val="1"/>
          <w:bCs w:val="1"/>
          <w:rtl w:val="0"/>
        </w:rPr>
        <w:t xml:space="preserve">Seguridad de los datos en reposo:</w:t>
      </w:r>
      <w:r w:rsidDel="00000000" w:rsidR="00000000" w:rsidRPr="00000000">
        <w:rPr>
          <w:rtl w:val="0"/>
        </w:rPr>
        <w:t xml:space="preserve"> Se confiará en el cifrado de almacenamiento predeterminado de Azure (Storage Service Encryption), el cual cifra automáticamente los datos guardados en los servidores de la nube.</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Seguridad de los datos en tránsito:</w:t>
      </w:r>
      <w:r w:rsidDel="00000000" w:rsidR="00000000" w:rsidRPr="00000000">
        <w:rPr>
          <w:rtl w:val="0"/>
        </w:rPr>
        <w:t xml:space="preserve"> Se habilitará la opción de "Solo HTTPS" en </w:t>
      </w:r>
      <w:r w:rsidDel="00000000" w:rsidR="00000000" w:rsidRPr="00000000">
        <w:rPr>
          <w:i w:val="1"/>
          <w:iCs w:val="1"/>
          <w:rtl w:val="0"/>
        </w:rPr>
        <w:t xml:space="preserve">Azure App Service</w:t>
      </w:r>
      <w:r w:rsidDel="00000000" w:rsidR="00000000" w:rsidRPr="00000000">
        <w:rPr>
          <w:rtl w:val="0"/>
        </w:rPr>
        <w:t xml:space="preserve">, garantizando que cualquier comunicación entre el navegador del paciente y el sistema web viaje cifrada.</w:t>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b w:val="1"/>
          <w:bCs w:val="1"/>
          <w:rtl w:val="0"/>
        </w:rPr>
        <w:t xml:space="preserve">Gestión de Credenciales Segura:</w:t>
      </w:r>
      <w:r w:rsidDel="00000000" w:rsidR="00000000" w:rsidRPr="00000000">
        <w:rPr>
          <w:rtl w:val="0"/>
        </w:rPr>
        <w:t xml:space="preserve"> No se dejarán contraseñas de la base de datos "quemadas" (hardcoded) en el código fuente. Se utilizarán las Variables de Entorno (Application Settings) del portal de Azure App Service, manteniendo las credenciales ocultas.</w:t>
      </w:r>
    </w:p>
    <w:p w:rsidR="00000000" w:rsidDel="00000000" w:rsidP="00000000" w:rsidRDefault="00000000" w:rsidRPr="00000000" w14:paraId="0000008D">
      <w:pPr>
        <w:numPr>
          <w:ilvl w:val="0"/>
          <w:numId w:val="3"/>
        </w:numPr>
        <w:spacing w:after="0" w:afterAutospacing="0" w:before="0" w:beforeAutospacing="0" w:lineRule="auto"/>
        <w:ind w:left="720" w:hanging="360"/>
        <w:rPr/>
      </w:pPr>
      <w:r w:rsidDel="00000000" w:rsidR="00000000" w:rsidRPr="00000000">
        <w:rPr>
          <w:b w:val="1"/>
          <w:bCs w:val="1"/>
          <w:rtl w:val="0"/>
        </w:rPr>
        <w:t xml:space="preserve">Restricción de Acceso (Firewall básico):</w:t>
      </w:r>
      <w:r w:rsidDel="00000000" w:rsidR="00000000" w:rsidRPr="00000000">
        <w:rPr>
          <w:rtl w:val="0"/>
        </w:rPr>
        <w:t xml:space="preserve"> Se configurará el firewall a nivel de servidor en TiDB Serverless para denegar el acceso público general, agregando a la "Lista Blanca" únicamente las direcciones IP del App Service y del equipo de desarrollo.</w:t>
      </w:r>
      <w:r w:rsidDel="00000000" w:rsidR="00000000" w:rsidRPr="00000000">
        <w:rPr>
          <w:rtl w:val="0"/>
        </w:rPr>
      </w:r>
    </w:p>
    <w:p w:rsidR="00000000" w:rsidDel="00000000" w:rsidP="00000000" w:rsidRDefault="00000000" w:rsidRPr="00000000" w14:paraId="0000008E">
      <w:pPr>
        <w:pStyle w:val="Heading2"/>
        <w:keepNext w:val="0"/>
        <w:keepLines w:val="0"/>
        <w:numPr>
          <w:ilvl w:val="1"/>
          <w:numId w:val="10"/>
        </w:numPr>
        <w:ind w:left="964" w:hanging="604"/>
      </w:pPr>
      <w:bookmarkStart w:colFirst="0" w:colLast="0" w:name="_ybbdyhk2214l" w:id="11"/>
      <w:bookmarkEnd w:id="11"/>
      <w:r w:rsidDel="00000000" w:rsidR="00000000" w:rsidRPr="00000000">
        <w:rPr>
          <w:rFonts w:ascii="Calibri" w:cs="Calibri" w:eastAsia="Calibri" w:hAnsi="Calibri"/>
          <w:rtl w:val="0"/>
        </w:rPr>
        <w:t xml:space="preserve">Plan de migración a cloud</w:t>
      </w:r>
    </w:p>
    <w:p w:rsidR="00000000" w:rsidDel="00000000" w:rsidP="00000000" w:rsidRDefault="00000000" w:rsidRPr="00000000" w14:paraId="0000008F">
      <w:pPr>
        <w:spacing w:after="240" w:before="240" w:lineRule="auto"/>
        <w:rPr/>
      </w:pPr>
      <w:r w:rsidDel="00000000" w:rsidR="00000000" w:rsidRPr="00000000">
        <w:rPr>
          <w:rtl w:val="0"/>
        </w:rPr>
        <w:t xml:space="preserve">Esta sección detalla el proceso técnico de transición desde el entorno local hacia la nube y describe la estructura final del sistema bajo el modelo de Plataforma como Servicio (PaaS), utilizando los recursos de la suscripción Azure for Students.</w:t>
      </w:r>
      <w:r w:rsidDel="00000000" w:rsidR="00000000" w:rsidRPr="00000000">
        <w:rPr>
          <w:rtl w:val="0"/>
        </w:rPr>
      </w:r>
    </w:p>
    <w:p w:rsidR="00000000" w:rsidDel="00000000" w:rsidP="00000000" w:rsidRDefault="00000000" w:rsidRPr="00000000" w14:paraId="00000090">
      <w:pPr>
        <w:pStyle w:val="Heading4"/>
        <w:keepNext w:val="0"/>
        <w:keepLines w:val="0"/>
        <w:ind w:left="964" w:firstLine="0"/>
        <w:rPr>
          <w:sz w:val="22"/>
          <w:szCs w:val="22"/>
        </w:rPr>
      </w:pPr>
      <w:bookmarkStart w:colFirst="0" w:colLast="0" w:name="_zi1vsuojd3lt" w:id="12"/>
      <w:bookmarkEnd w:id="12"/>
      <w:r w:rsidDel="00000000" w:rsidR="00000000" w:rsidRPr="00000000">
        <w:rPr>
          <w:sz w:val="22"/>
          <w:szCs w:val="22"/>
          <w:rtl w:val="0"/>
        </w:rPr>
        <w:t xml:space="preserve">A. Fases del Proceso de Migración (Offline Migration)</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El traslado de la base de datos y la integración del sistema web existente se ejecutará bajo un esquema planificado para garantizar la integridad de los datos médicos:</w:t>
      </w:r>
    </w:p>
    <w:p w:rsidR="00000000" w:rsidDel="00000000" w:rsidP="00000000" w:rsidRDefault="00000000" w:rsidRPr="00000000" w14:paraId="00000092">
      <w:pPr>
        <w:numPr>
          <w:ilvl w:val="0"/>
          <w:numId w:val="2"/>
        </w:numPr>
        <w:spacing w:after="0" w:afterAutospacing="0" w:before="240" w:lineRule="auto"/>
        <w:ind w:left="720" w:hanging="360"/>
        <w:rPr/>
      </w:pPr>
      <w:r w:rsidDel="00000000" w:rsidR="00000000" w:rsidRPr="00000000">
        <w:rPr>
          <w:b w:val="1"/>
          <w:bCs w:val="1"/>
          <w:rtl w:val="0"/>
        </w:rPr>
        <w:t>Aprovisionamiento del Entorno: Se crean los recursos en el portal de Azure seleccionando servicios en capas básicas o gratuitas. Esto incluye un Azure App Service para el alojamiento web y un TiDB Serverless como base de datos compatible con MySQL. TiDB se provisiona externamente y se conecta vía internet al App Service.</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93">
      <w:pPr>
        <w:numPr>
          <w:ilvl w:val="0"/>
          <w:numId w:val="2"/>
        </w:numPr>
        <w:spacing w:after="0" w:afterAutospacing="0" w:before="0" w:beforeAutospacing="0" w:lineRule="auto"/>
        <w:ind w:left="720" w:hanging="360"/>
        <w:rPr/>
      </w:pPr>
      <w:r w:rsidDel="00000000" w:rsidR="00000000" w:rsidRPr="00000000">
        <w:rPr>
          <w:b w:val="1"/>
          <w:bCs w:val="1"/>
          <w:rtl w:val="0"/>
        </w:rPr>
        <w:t xml:space="preserve">Exportación y Preparación de Datos:</w:t>
      </w:r>
      <w:r w:rsidDel="00000000" w:rsidR="00000000" w:rsidRPr="00000000">
        <w:rPr>
          <w:rtl w:val="0"/>
        </w:rPr>
        <w:t xml:space="preserve"> Se detiene el acceso al sistema local para asegurar una "fotografía" estática de la información. Mediante herramientas de gestión (como MySQL Workbench), se genera un volcado (dump) en archivo </w:t>
      </w:r>
      <w:r w:rsidDel="00000000" w:rsidR="00000000" w:rsidRPr="00000000">
        <w:rPr>
          <w:rFonts w:ascii="Roboto Mono" w:cs="Roboto Mono" w:eastAsia="Roboto Mono" w:hAnsi="Roboto Mono"/>
          <w:color w:val="4a86e8"/>
          <w:rtl w:val="0"/>
        </w:rPr>
        <w:t xml:space="preserve">.sql</w:t>
      </w:r>
      <w:r w:rsidDel="00000000" w:rsidR="00000000" w:rsidRPr="00000000">
        <w:rPr>
          <w:rtl w:val="0"/>
        </w:rPr>
        <w:t xml:space="preserve"> que contiene la estructura de las tablas y todos los registros de citas y pacientes.</w:t>
      </w:r>
    </w:p>
    <w:p w:rsidR="00000000" w:rsidDel="00000000" w:rsidP="00000000" w:rsidRDefault="00000000" w:rsidRPr="00000000" w14:paraId="00000094">
      <w:pPr>
        <w:numPr>
          <w:ilvl w:val="0"/>
          <w:numId w:val="2"/>
        </w:numPr>
        <w:spacing w:after="0" w:afterAutospacing="0" w:before="0" w:beforeAutospacing="0" w:lineRule="auto"/>
        <w:ind w:left="720" w:hanging="360"/>
        <w:rPr/>
      </w:pPr>
      <w:r w:rsidDel="00000000" w:rsidR="00000000" w:rsidRPr="00000000">
        <w:rPr>
          <w:b w:val="1"/>
          <w:bCs w:val="1"/>
          <w:rtl w:val="0"/>
        </w:rPr>
        <w:t xml:space="preserve">Carga en la Nube e Integración:</w:t>
      </w:r>
      <w:r w:rsidDel="00000000" w:rsidR="00000000" w:rsidRPr="00000000">
        <w:rPr>
          <w:rtl w:val="0"/>
        </w:rPr>
        <w:t xml:space="preserve"> Se ejecuta el archivo </w:t>
      </w:r>
      <w:r w:rsidDel="00000000" w:rsidR="00000000" w:rsidRPr="00000000">
        <w:rPr>
          <w:rFonts w:ascii="Roboto Mono" w:cs="Roboto Mono" w:eastAsia="Roboto Mono" w:hAnsi="Roboto Mono"/>
          <w:color w:val="4a86e8"/>
          <w:rtl w:val="0"/>
        </w:rPr>
        <w:t xml:space="preserve">.sql</w:t>
      </w:r>
      <w:r w:rsidDel="00000000" w:rsidR="00000000" w:rsidRPr="00000000">
        <w:rPr>
          <w:rtl w:val="0"/>
        </w:rPr>
        <w:t xml:space="preserve"> directamente sobre la instancia de TiDB Serverless. Simultáneamente, se despliega el código del sistema web en Azure App Service y se reconfiguran las cadenas de conexión para que el aplicativo apunte al nuevo punto de enlace (endpoint) de la base de datos en Azure.</w:t>
      </w:r>
    </w:p>
    <w:p w:rsidR="00000000" w:rsidDel="00000000" w:rsidP="00000000" w:rsidRDefault="00000000" w:rsidRPr="00000000" w14:paraId="00000095">
      <w:pPr>
        <w:numPr>
          <w:ilvl w:val="0"/>
          <w:numId w:val="2"/>
        </w:numPr>
        <w:spacing w:after="240" w:before="0" w:beforeAutospacing="0" w:lineRule="auto"/>
        <w:ind w:left="720" w:hanging="360"/>
        <w:rPr/>
      </w:pPr>
      <w:r w:rsidDel="00000000" w:rsidR="00000000" w:rsidRPr="00000000">
        <w:rPr>
          <w:b w:val="1"/>
          <w:bCs w:val="1"/>
          <w:rtl w:val="0"/>
        </w:rPr>
        <w:t xml:space="preserve">Validación y Pruebas Funcionales:</w:t>
      </w:r>
      <w:r w:rsidDel="00000000" w:rsidR="00000000" w:rsidRPr="00000000">
        <w:rPr>
          <w:rtl w:val="0"/>
        </w:rPr>
        <w:t xml:space="preserve"> Se realizan pruebas de estrés básicas y verificación de registros. Una vez confirmado que el sistema responde correctamente desde la URL de Azure, se da por concluida la migración y se habilita el acceso a los usuarios finales.</w:t>
      </w:r>
    </w:p>
    <w:p w:rsidR="00000000" w:rsidDel="00000000" w:rsidP="00000000" w:rsidRDefault="00000000" w:rsidRPr="00000000" w14:paraId="00000096">
      <w:pPr>
        <w:pStyle w:val="Heading4"/>
        <w:keepNext w:val="0"/>
        <w:keepLines w:val="0"/>
        <w:ind w:left="964" w:firstLine="0"/>
        <w:rPr>
          <w:sz w:val="22"/>
          <w:szCs w:val="22"/>
        </w:rPr>
      </w:pPr>
      <w:bookmarkStart w:colFirst="0" w:colLast="0" w:name="_fz0zxbtkngyc" w:id="13"/>
      <w:bookmarkEnd w:id="13"/>
      <w:r w:rsidDel="00000000" w:rsidR="00000000" w:rsidRPr="00000000">
        <w:rPr>
          <w:sz w:val="22"/>
          <w:szCs w:val="22"/>
          <w:rtl w:val="0"/>
        </w:rPr>
        <w:t xml:space="preserve">B. Componentes de la Arquitectura Post-Migración</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Una vez finalizada la migración, la arquitectura del sistema delega la gestión de la infraestructura a Microsoft, quedando estructurada de la siguiente manera:</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b w:val="1"/>
          <w:bCs w:val="1"/>
          <w:rtl w:val="0"/>
        </w:rPr>
        <w:t xml:space="preserve">Servicio de Aplicación (Azure App Service):</w:t>
      </w:r>
      <w:r w:rsidDel="00000000" w:rsidR="00000000" w:rsidRPr="00000000">
        <w:rPr>
          <w:rtl w:val="0"/>
        </w:rPr>
        <w:t xml:space="preserve"> Actúa como el contenedor del sistema web (Frontend y Backend). Este servicio PaaS gestiona automáticamente el entorno de ejecución, la seguridad del servidor web y ofrece certificados SSL básicos para cifrar la conexión mediante HTTPS.</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b w:val="1"/>
          <w:bCs w:val="1"/>
          <w:rtl w:val="0"/>
        </w:rPr>
        <w:t>Base de Datos Gestionada (TiDB Serverless): Es el núcleo de almacenamiento del proyecto. Al ser un servicio PaaS compatible con MySQL, TiDB gestiona la infraestructura distribuida y ejecuta backups automáticos periódicos con réplicas de alta disponibilidad. Estos respaldos permiten la recuperación de datos ante errores humanos o fallos lógicos sin necesidad de intervención manual constante.</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Seguridad y Configuración:</w:t>
      </w:r>
      <w:r w:rsidDel="00000000" w:rsidR="00000000" w:rsidRPr="00000000">
        <w:rPr>
          <w:rtl w:val="0"/>
        </w:rPr>
        <w:t xml:space="preserve"> La protección de credenciales se centraliza en las </w:t>
      </w:r>
      <w:r w:rsidDel="00000000" w:rsidR="00000000" w:rsidRPr="00000000">
        <w:rPr>
          <w:b w:val="1"/>
          <w:bCs w:val="1"/>
          <w:rtl w:val="0"/>
        </w:rPr>
        <w:t xml:space="preserve">Variables de Entorno (Application Settings)</w:t>
      </w:r>
      <w:r w:rsidDel="00000000" w:rsidR="00000000" w:rsidRPr="00000000">
        <w:rPr>
          <w:rtl w:val="0"/>
        </w:rPr>
        <w:t xml:space="preserve"> del App Service. Esto evita que las contraseñas de la base de datos estén expuestas en el código fuente. Asimismo, se aplica un firewall básico que solo permite conexiones entre la aplicación web y la base de datos.</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b w:val="1"/>
          <w:bCs w:val="1"/>
          <w:rtl w:val="0"/>
        </w:rPr>
        <w:t>Monitoreo y Réplicas Automáticas: La arquitectura se apoya en las réplicas automáticas de TiDB Serverless, que mantienen tres copias de los datos en su infraestructura distribuida. El monitoreo se realiza a través de las métricas nativas del portal de Azure, supervisando el consumo de recursos y la disponibilidad del servicio médico en tiempo real.</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09C">
      <w:pPr>
        <w:pStyle w:val="Heading1"/>
        <w:numPr>
          <w:ilvl w:val="0"/>
          <w:numId w:val="10"/>
        </w:numPr>
        <w:ind w:left="360" w:hanging="360"/>
        <w:rPr/>
      </w:pPr>
      <w:bookmarkStart w:colFirst="0" w:colLast="0" w:name="_p6aqo9u5o90l" w:id="14"/>
      <w:bookmarkEnd w:id="14"/>
      <w:r w:rsidDel="00000000" w:rsidR="00000000" w:rsidRPr="00000000">
        <w:rPr>
          <w:rFonts w:ascii="Calibri" w:cs="Calibri" w:eastAsia="Calibri" w:hAnsi="Calibri"/>
          <w:rtl w:val="0"/>
        </w:rPr>
        <w:t xml:space="preserve">CONCLUSIONES y RECOMENDACIONES</w:t>
      </w:r>
    </w:p>
    <w:p w:rsidR="00000000" w:rsidDel="00000000" w:rsidP="00000000" w:rsidRDefault="00000000" w:rsidRPr="00000000" w14:paraId="0000009D">
      <w:pPr>
        <w:pStyle w:val="Heading2"/>
        <w:keepNext w:val="0"/>
        <w:keepLines w:val="0"/>
        <w:numPr>
          <w:ilvl w:val="1"/>
          <w:numId w:val="10"/>
        </w:numPr>
        <w:ind w:left="964" w:hanging="607"/>
        <w:rPr/>
      </w:pPr>
      <w:bookmarkStart w:colFirst="0" w:colLast="0" w:name="_1pj4pqbsyx3" w:id="15"/>
      <w:bookmarkEnd w:id="15"/>
      <w:r w:rsidDel="00000000" w:rsidR="00000000" w:rsidRPr="00000000">
        <w:rPr>
          <w:rFonts w:ascii="Calibri" w:cs="Calibri" w:eastAsia="Calibri" w:hAnsi="Calibri"/>
          <w:rtl w:val="0"/>
        </w:rPr>
        <w:t xml:space="preserve">Conclusiones</w:t>
      </w:r>
    </w:p>
    <w:p w:rsidR="00000000" w:rsidDel="00000000" w:rsidP="00000000" w:rsidRDefault="00000000" w:rsidRPr="00000000" w14:paraId="0000009E">
      <w:pPr>
        <w:numPr>
          <w:ilvl w:val="0"/>
          <w:numId w:val="1"/>
        </w:numPr>
        <w:spacing w:after="0" w:afterAutospacing="0"/>
        <w:ind w:left="720" w:hanging="360"/>
        <w:rPr>
          <w:u w:val="none"/>
        </w:rPr>
      </w:pPr>
      <w:r w:rsidDel="00000000" w:rsidR="00000000" w:rsidRPr="00000000">
        <w:rPr>
          <w:rtl w:val="0"/>
        </w:rPr>
        <w:t xml:space="preserve">A.1. La migración de la base de datos del sistema web de gestión de citas médicas hacia una arquitectura basada en servicios PaaS de Microsoft Azure constituye una alternativa adecuada para reducir el riesgo de pérdida de información crítica, debido a que incorpora mecanismos automatizados de respaldo, alta disponibilidad y administración gestionada de la infraestructura.</w:t>
      </w:r>
    </w:p>
    <w:p w:rsidR="00000000" w:rsidDel="00000000" w:rsidP="00000000" w:rsidRDefault="00000000" w:rsidRPr="00000000" w14:paraId="0000009F">
      <w:pPr>
        <w:numPr>
          <w:ilvl w:val="0"/>
          <w:numId w:val="1"/>
        </w:numPr>
        <w:spacing w:after="0" w:afterAutospacing="0"/>
        <w:ind w:left="720" w:hanging="360"/>
        <w:rPr>
          <w:u w:val="none"/>
        </w:rPr>
      </w:pPr>
      <w:r w:rsidDel="00000000" w:rsidR="00000000" w:rsidRPr="00000000">
        <w:rPr>
          <w:rtl w:val="0"/>
        </w:rPr>
        <w:t>A.2. La implementación de TiDB Serverless y Azure App Service permite eliminar la dependencia de servidores físicos locales para el almacenamiento y procesamiento de la información, disminuyendo la exposición a fallas de hardware, errores humanos y otros eventos que puedan afectar la continuidad del servicio hospitalario.</w:t>
      </w:r>
    </w:p>
    <w:p w:rsidR="00000000" w:rsidDel="00000000" w:rsidP="00000000" w:rsidRDefault="00000000" w:rsidRPr="00000000" w14:paraId="000000A0">
      <w:pPr>
        <w:numPr>
          <w:ilvl w:val="0"/>
          <w:numId w:val="1"/>
        </w:numPr>
        <w:spacing w:after="0" w:afterAutospacing="0"/>
        <w:ind w:left="720" w:hanging="360"/>
        <w:rPr>
          <w:u w:val="none"/>
        </w:rPr>
      </w:pPr>
      <w:r w:rsidDel="00000000" w:rsidR="00000000" w:rsidRPr="00000000">
        <w:rPr>
          <w:rtl w:val="0"/>
        </w:rPr>
        <w:t xml:space="preserve">A.3. El plan de migración propuesto, basado en una estrategia de migración fuera de línea (Offline Migration), garantiza la integridad de los datos durante el proceso de transferencia, ya que contempla la exportación, validación e importación controlada de la base de datos antes de la puesta en producción del sistema.</w:t>
      </w:r>
    </w:p>
    <w:p w:rsidR="00000000" w:rsidDel="00000000" w:rsidP="00000000" w:rsidRDefault="00000000" w:rsidRPr="00000000" w14:paraId="000000A1">
      <w:pPr>
        <w:numPr>
          <w:ilvl w:val="0"/>
          <w:numId w:val="1"/>
        </w:numPr>
        <w:spacing w:after="0" w:afterAutospacing="0"/>
        <w:ind w:left="720" w:hanging="360"/>
        <w:rPr>
          <w:u w:val="none"/>
        </w:rPr>
      </w:pPr>
      <w:r w:rsidDel="00000000" w:rsidR="00000000" w:rsidRPr="00000000">
        <w:rPr>
          <w:rtl w:val="0"/>
        </w:rPr>
        <w:t xml:space="preserve">A.4. La incorporación de controles de seguridad como el cifrado de datos, el uso de HTTPS, la protección de credenciales mediante variables de entorno y la configuración de reglas de firewall fortalecen la confidencialidad, integridad y disponibilidad de la información administrada por el sistema.</w:t>
      </w:r>
    </w:p>
    <w:p w:rsidR="00000000" w:rsidDel="00000000" w:rsidP="00000000" w:rsidRDefault="00000000" w:rsidRPr="00000000" w14:paraId="000000A2">
      <w:pPr>
        <w:numPr>
          <w:ilvl w:val="0"/>
          <w:numId w:val="1"/>
        </w:numPr>
        <w:spacing w:after="0" w:afterAutospacing="0"/>
        <w:ind w:left="720" w:hanging="360"/>
        <w:rPr>
          <w:u w:val="none"/>
        </w:rPr>
      </w:pPr>
      <w:r w:rsidDel="00000000" w:rsidR="00000000" w:rsidRPr="00000000">
        <w:rPr>
          <w:rtl w:val="0"/>
        </w:rPr>
        <w:t xml:space="preserve">A.5. La utilización de las funcionalidades nativas de respaldo automático y almacenamiento con redundancia local (LRS) ofrecidas por Microsoft Azure mejora la capacidad de recuperación ante incidentes, permitiendo restablecer la información con mayor rapidez y contribuyendo a la continuidad operativa del servicio de gestión de citas médicas.</w:t>
      </w:r>
      <w:r w:rsidDel="00000000" w:rsidR="00000000" w:rsidRPr="00000000">
        <w:rPr>
          <w:rtl w:val="0"/>
        </w:rPr>
      </w:r>
    </w:p>
    <w:p w:rsidR="00000000" w:rsidDel="00000000" w:rsidP="00000000" w:rsidRDefault="00000000" w:rsidRPr="00000000" w14:paraId="000000A3">
      <w:pPr>
        <w:pStyle w:val="Heading2"/>
        <w:keepNext w:val="0"/>
        <w:keepLines w:val="0"/>
        <w:numPr>
          <w:ilvl w:val="1"/>
          <w:numId w:val="10"/>
        </w:numPr>
        <w:ind w:left="964" w:hanging="607"/>
        <w:rPr/>
      </w:pPr>
      <w:bookmarkStart w:colFirst="0" w:colLast="0" w:name="_96xvejyq06g" w:id="16"/>
      <w:bookmarkEnd w:id="16"/>
      <w:r w:rsidDel="00000000" w:rsidR="00000000" w:rsidRPr="00000000">
        <w:rPr>
          <w:rFonts w:ascii="Calibri" w:cs="Calibri" w:eastAsia="Calibri" w:hAnsi="Calibri"/>
          <w:rtl w:val="0"/>
        </w:rPr>
        <w:t xml:space="preserve">Recomendaciones</w:t>
      </w:r>
    </w:p>
    <w:p w:rsidR="00000000" w:rsidDel="00000000" w:rsidP="00000000" w:rsidRDefault="00000000" w:rsidRPr="00000000" w14:paraId="000000A4">
      <w:pPr>
        <w:numPr>
          <w:ilvl w:val="0"/>
          <w:numId w:val="6"/>
        </w:numPr>
        <w:spacing w:after="0" w:afterAutospacing="0"/>
        <w:ind w:left="720" w:hanging="360"/>
        <w:rPr>
          <w:u w:val="none"/>
        </w:rPr>
      </w:pPr>
      <w:r w:rsidDel="00000000" w:rsidR="00000000" w:rsidRPr="00000000">
        <w:rPr>
          <w:rtl w:val="0"/>
        </w:rPr>
        <w:t xml:space="preserve">Implementar la migración en un entorno de pruebas antes de realizar el despliegue definitivo, con la finalidad de verificar el correcto funcionamiento del sistema, validar la integridad de los datos migrados y corregir posibles incidencias sin afectar la operación del servicio.</w:t>
      </w:r>
    </w:p>
    <w:p w:rsidR="00000000" w:rsidDel="00000000" w:rsidP="00000000" w:rsidRDefault="00000000" w:rsidRPr="00000000" w14:paraId="000000A5">
      <w:pPr>
        <w:numPr>
          <w:ilvl w:val="0"/>
          <w:numId w:val="6"/>
        </w:numPr>
        <w:spacing w:after="0" w:afterAutospacing="0"/>
        <w:ind w:left="720" w:hanging="360"/>
        <w:rPr>
          <w:u w:val="none"/>
        </w:rPr>
      </w:pPr>
      <w:r w:rsidDel="00000000" w:rsidR="00000000" w:rsidRPr="00000000">
        <w:rPr>
          <w:rtl w:val="0"/>
        </w:rPr>
        <w:t xml:space="preserve">Establecer un cronograma periódico de pruebas de restauración de copias de seguridad para comprobar que los respaldos generados automáticamente por la plataforma puedan recuperarse correctamente cuando ocurra un incidente.</w:t>
      </w:r>
    </w:p>
    <w:p w:rsidR="00000000" w:rsidDel="00000000" w:rsidP="00000000" w:rsidRDefault="00000000" w:rsidRPr="00000000" w14:paraId="000000A6">
      <w:pPr>
        <w:numPr>
          <w:ilvl w:val="0"/>
          <w:numId w:val="6"/>
        </w:numPr>
        <w:spacing w:after="0" w:afterAutospacing="0"/>
        <w:ind w:left="720" w:hanging="360"/>
        <w:rPr>
          <w:u w:val="none"/>
        </w:rPr>
      </w:pPr>
      <w:r w:rsidDel="00000000" w:rsidR="00000000" w:rsidRPr="00000000">
        <w:rPr>
          <w:rtl w:val="0"/>
        </w:rPr>
        <w:t xml:space="preserve">Mantener actualizadas las configuraciones de seguridad del entorno en Azure, revisando periódicamente las reglas del firewall, las credenciales de acceso, los permisos de los usuarios y las políticas de autenticación para reducir riesgos de acceso no autorizado.</w:t>
      </w:r>
    </w:p>
    <w:p w:rsidR="00000000" w:rsidDel="00000000" w:rsidP="00000000" w:rsidRDefault="00000000" w:rsidRPr="00000000" w14:paraId="000000A7">
      <w:pPr>
        <w:numPr>
          <w:ilvl w:val="0"/>
          <w:numId w:val="6"/>
        </w:numPr>
        <w:spacing w:after="0" w:afterAutospacing="0"/>
        <w:ind w:left="720" w:hanging="360"/>
        <w:rPr>
          <w:u w:val="none"/>
        </w:rPr>
      </w:pPr>
      <w:r w:rsidDel="00000000" w:rsidR="00000000" w:rsidRPr="00000000">
        <w:rPr>
          <w:rtl w:val="0"/>
        </w:rPr>
        <w:t xml:space="preserve">Implementar mecanismos permanentes de monitoreo sobre el rendimiento y disponibilidad de los servicios desplegados en Azure, utilizando las herramientas proporcionadas por la plataforma para detectar oportunamente fallas, consumo elevado de recursos o posibles incidentes de seguridad.</w:t>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Como trabajo futuro, evaluar la incorporación de servicios adicionales de continuidad del negocio, como almacenamiento con redundancia geográfica, recuperación ante desastres (Disaster Recovery) y servicios avanzados de monitoreo y gestión de identidades, con el propósito de incrementar la resiliencia del sistema conforme aumenten las necesidades operativas de la institución.</w:t>
      </w:r>
      <w:r w:rsidDel="00000000" w:rsidR="00000000" w:rsidRPr="00000000">
        <w:rPr>
          <w:rtl w:val="0"/>
        </w:rPr>
      </w:r>
    </w:p>
    <w:p w:rsidR="00000000" w:rsidDel="00000000" w:rsidP="00000000" w:rsidRDefault="00000000" w:rsidRPr="00000000" w14:paraId="000000A9">
      <w:pPr>
        <w:pStyle w:val="Heading1"/>
        <w:rPr>
          <w:rFonts w:ascii="Calibri" w:cs="Calibri" w:eastAsia="Calibri" w:hAnsi="Calibri"/>
        </w:rPr>
      </w:pPr>
      <w:bookmarkStart w:colFirst="0" w:colLast="0" w:name="_6xtmbhhiynhm" w:id="17"/>
      <w:bookmarkEnd w:id="17"/>
      <w:r w:rsidDel="00000000" w:rsidR="00000000" w:rsidRPr="00000000">
        <w:rPr>
          <w:rFonts w:ascii="Calibri" w:cs="Calibri" w:eastAsia="Calibri" w:hAnsi="Calibri"/>
          <w:rtl w:val="0"/>
        </w:rPr>
        <w:t xml:space="preserve">Lista de referencias</w:t>
      </w:r>
    </w:p>
    <w:p w:rsidR="00000000" w:rsidDel="00000000" w:rsidP="00000000" w:rsidRDefault="00000000" w:rsidRPr="00000000" w14:paraId="000000AA">
      <w:pPr>
        <w:numPr>
          <w:ilvl w:val="0"/>
          <w:numId w:val="9"/>
        </w:numPr>
        <w:ind w:left="720" w:hanging="360"/>
        <w:rPr>
          <w:u w:val="none"/>
        </w:rPr>
      </w:pPr>
      <w:r w:rsidDel="00000000" w:rsidR="00000000" w:rsidRPr="00000000">
        <w:rPr>
          <w:rtl w:val="0"/>
        </w:rPr>
        <w:t xml:space="preserve">Alvarado Torres, G. A., López Argandoña, M. C. (2022). Sistema web para </w:t>
      </w:r>
    </w:p>
    <w:p w:rsidR="00000000" w:rsidDel="00000000" w:rsidP="00000000" w:rsidRDefault="00000000" w:rsidRPr="00000000" w14:paraId="000000AB">
      <w:pPr>
        <w:ind w:firstLine="720"/>
        <w:rPr/>
      </w:pPr>
      <w:r w:rsidDel="00000000" w:rsidR="00000000" w:rsidRPr="00000000">
        <w:rPr>
          <w:rtl w:val="0"/>
        </w:rPr>
        <w:t xml:space="preserve">Mejorar la gestión de citas médicas en el Hospital Nacional PNP 'Luis N. Sáenz' </w:t>
      </w:r>
    </w:p>
    <w:p w:rsidR="00000000" w:rsidDel="00000000" w:rsidP="00000000" w:rsidRDefault="00000000" w:rsidRPr="00000000" w14:paraId="000000AC">
      <w:pPr>
        <w:rPr/>
      </w:pPr>
      <w:r w:rsidDel="00000000" w:rsidR="00000000" w:rsidRPr="00000000">
        <w:rPr>
          <w:rtl w:val="0"/>
        </w:rPr>
        <w:tab/>
        <w:t xml:space="preserve">Tesis de titulación, Universidad César Vallejo]. </w:t>
      </w:r>
    </w:p>
    <w:p w:rsidR="00000000" w:rsidDel="00000000" w:rsidP="00000000" w:rsidRDefault="00000000" w:rsidRPr="00000000" w14:paraId="000000AD">
      <w:pPr>
        <w:ind w:firstLine="720"/>
        <w:rPr/>
      </w:pPr>
      <w:hyperlink r:id="rId7">
        <w:r w:rsidDel="00000000" w:rsidR="00000000" w:rsidRPr="00000000">
          <w:rPr>
            <w:color w:val="1155cc"/>
            <w:u w:val="single"/>
            <w:rtl w:val="0"/>
          </w:rPr>
          <w:t xml:space="preserve">https://repositorio.ucv.edu.pe/handle/20.500.12692/88887</w:t>
        </w:r>
      </w:hyperlink>
      <w:r w:rsidDel="00000000" w:rsidR="00000000" w:rsidRPr="00000000">
        <w:rPr>
          <w:rtl w:val="0"/>
        </w:rPr>
        <w:t xml:space="preserve">   </w:t>
      </w:r>
    </w:p>
    <w:p w:rsidR="00000000" w:rsidDel="00000000" w:rsidP="00000000" w:rsidRDefault="00000000" w:rsidRPr="00000000" w14:paraId="000000AE">
      <w:pPr>
        <w:numPr>
          <w:ilvl w:val="0"/>
          <w:numId w:val="13"/>
        </w:numPr>
        <w:ind w:left="720" w:hanging="360"/>
        <w:rPr>
          <w:u w:val="none"/>
        </w:rPr>
      </w:pPr>
      <w:r w:rsidDel="00000000" w:rsidR="00000000" w:rsidRPr="00000000">
        <w:rPr>
          <w:rtl w:val="0"/>
        </w:rPr>
        <w:t xml:space="preserve">Fernández León, E. M. (2022). DESARROLLO DE UN SISTEMA WEB DE HISTORIAS </w:t>
      </w:r>
    </w:p>
    <w:p w:rsidR="00000000" w:rsidDel="00000000" w:rsidP="00000000" w:rsidRDefault="00000000" w:rsidRPr="00000000" w14:paraId="000000AF">
      <w:pPr>
        <w:ind w:firstLine="720"/>
        <w:rPr/>
      </w:pPr>
      <w:r w:rsidDel="00000000" w:rsidR="00000000" w:rsidRPr="00000000">
        <w:rPr>
          <w:rtl w:val="0"/>
        </w:rPr>
        <w:t xml:space="preserve">CLÍNICAS ELECTRÓNICAS PARA MEJORAR LA GESTIÓN EN EL PROCESO DE </w:t>
      </w:r>
    </w:p>
    <w:p w:rsidR="00000000" w:rsidDel="00000000" w:rsidP="00000000" w:rsidRDefault="00000000" w:rsidRPr="00000000" w14:paraId="000000B0">
      <w:pPr>
        <w:ind w:firstLine="720"/>
        <w:rPr/>
      </w:pPr>
      <w:r w:rsidDel="00000000" w:rsidR="00000000" w:rsidRPr="00000000">
        <w:rPr>
          <w:rtl w:val="0"/>
        </w:rPr>
        <w:t xml:space="preserve">CONSULTAS AMBULATORIAS DEL HOSPITAL BELÉN DE LAMBAYEQUE [Tesis de </w:t>
      </w:r>
    </w:p>
    <w:p w:rsidR="00000000" w:rsidDel="00000000" w:rsidP="00000000" w:rsidRDefault="00000000" w:rsidRPr="00000000" w14:paraId="000000B1">
      <w:pPr>
        <w:ind w:firstLine="720"/>
        <w:rPr/>
      </w:pPr>
      <w:r w:rsidDel="00000000" w:rsidR="00000000" w:rsidRPr="00000000">
        <w:rPr>
          <w:rtl w:val="0"/>
        </w:rPr>
        <w:t xml:space="preserve">titulación, Universidad Católica Santo Toribio de Mogrovejo]. </w:t>
      </w:r>
    </w:p>
    <w:p w:rsidR="00000000" w:rsidDel="00000000" w:rsidP="00000000" w:rsidRDefault="00000000" w:rsidRPr="00000000" w14:paraId="000000B2">
      <w:pPr>
        <w:ind w:firstLine="720"/>
        <w:rPr/>
      </w:pPr>
      <w:hyperlink r:id="rId8">
        <w:r w:rsidDel="00000000" w:rsidR="00000000" w:rsidRPr="00000000">
          <w:rPr>
            <w:color w:val="1155cc"/>
            <w:u w:val="single"/>
            <w:rtl w:val="0"/>
          </w:rPr>
          <w:t xml:space="preserve">https://tesis.usat.edu.pe/handle/20.500.12423/4532</w:t>
        </w:r>
      </w:hyperlink>
      <w:r w:rsidDel="00000000" w:rsidR="00000000" w:rsidRPr="00000000">
        <w:rPr>
          <w:rtl w:val="0"/>
        </w:rPr>
        <w:t xml:space="preserve">   </w:t>
      </w:r>
    </w:p>
    <w:p w:rsidR="00000000" w:rsidDel="00000000" w:rsidP="00000000" w:rsidRDefault="00000000" w:rsidRPr="00000000" w14:paraId="000000B3">
      <w:pPr>
        <w:numPr>
          <w:ilvl w:val="0"/>
          <w:numId w:val="5"/>
        </w:numPr>
        <w:ind w:left="720" w:hanging="360"/>
        <w:rPr>
          <w:u w:val="none"/>
        </w:rPr>
      </w:pPr>
      <w:r w:rsidDel="00000000" w:rsidR="00000000" w:rsidRPr="00000000">
        <w:rPr>
          <w:rtl w:val="0"/>
        </w:rPr>
        <w:t xml:space="preserve">Llontop Clavo, J. L. (2021). Sistema web para el control de los procesos de </w:t>
      </w:r>
    </w:p>
    <w:p w:rsidR="00000000" w:rsidDel="00000000" w:rsidP="00000000" w:rsidRDefault="00000000" w:rsidRPr="00000000" w14:paraId="000000B4">
      <w:pPr>
        <w:ind w:firstLine="720"/>
        <w:rPr/>
      </w:pPr>
      <w:r w:rsidDel="00000000" w:rsidR="00000000" w:rsidRPr="00000000">
        <w:rPr>
          <w:rtl w:val="0"/>
        </w:rPr>
        <w:t xml:space="preserve">admisión y atención médica en el Hospital Regional Policial Chiclayo [Tesis de </w:t>
      </w:r>
    </w:p>
    <w:p w:rsidR="00000000" w:rsidDel="00000000" w:rsidP="00000000" w:rsidRDefault="00000000" w:rsidRPr="00000000" w14:paraId="000000B5">
      <w:pPr>
        <w:ind w:firstLine="720"/>
        <w:rPr/>
      </w:pPr>
      <w:r w:rsidDel="00000000" w:rsidR="00000000" w:rsidRPr="00000000">
        <w:rPr>
          <w:rtl w:val="0"/>
        </w:rPr>
        <w:t xml:space="preserve">titulación, Universidad César Vallejo]. </w:t>
      </w:r>
    </w:p>
    <w:p w:rsidR="00000000" w:rsidDel="00000000" w:rsidP="00000000" w:rsidRDefault="00000000" w:rsidRPr="00000000" w14:paraId="000000B6">
      <w:pPr>
        <w:ind w:firstLine="720"/>
        <w:rPr/>
      </w:pPr>
      <w:hyperlink r:id="rId9">
        <w:r w:rsidDel="00000000" w:rsidR="00000000" w:rsidRPr="00000000">
          <w:rPr>
            <w:color w:val="1155cc"/>
            <w:u w:val="single"/>
            <w:rtl w:val="0"/>
          </w:rPr>
          <w:t xml:space="preserve">https://repositorio.ucv.edu.pe/handle/20.500.12692/100348</w:t>
        </w:r>
      </w:hyperlink>
      <w:r w:rsidDel="00000000" w:rsidR="00000000" w:rsidRPr="00000000">
        <w:rPr>
          <w:rtl w:val="0"/>
        </w:rPr>
        <w:t xml:space="preserve">   </w:t>
      </w:r>
    </w:p>
    <w:p w:rsidR="00000000" w:rsidDel="00000000" w:rsidP="00000000" w:rsidRDefault="00000000" w:rsidRPr="00000000" w14:paraId="000000B7">
      <w:pPr>
        <w:numPr>
          <w:ilvl w:val="0"/>
          <w:numId w:val="12"/>
        </w:numPr>
        <w:ind w:left="720" w:hanging="360"/>
        <w:rPr>
          <w:u w:val="none"/>
        </w:rPr>
      </w:pPr>
      <w:r w:rsidDel="00000000" w:rsidR="00000000" w:rsidRPr="00000000">
        <w:rPr>
          <w:rtl w:val="0"/>
        </w:rPr>
        <w:t xml:space="preserve">Soto Quilca, G. M. (2022). Propuesta de implementación de un sistema web para </w:t>
      </w:r>
    </w:p>
    <w:p w:rsidR="00000000" w:rsidDel="00000000" w:rsidP="00000000" w:rsidRDefault="00000000" w:rsidRPr="00000000" w14:paraId="000000B8">
      <w:pPr>
        <w:ind w:firstLine="720"/>
        <w:rPr/>
      </w:pPr>
      <w:r w:rsidDel="00000000" w:rsidR="00000000" w:rsidRPr="00000000">
        <w:rPr>
          <w:rtl w:val="0"/>
        </w:rPr>
        <w:t xml:space="preserve">citas médicas en el Hospital de Emergencia Villa El Salvador – Lima; 2022 [Tesis </w:t>
      </w:r>
    </w:p>
    <w:p w:rsidR="00000000" w:rsidDel="00000000" w:rsidP="00000000" w:rsidRDefault="00000000" w:rsidRPr="00000000" w14:paraId="000000B9">
      <w:pPr>
        <w:ind w:firstLine="720"/>
        <w:rPr/>
      </w:pPr>
      <w:r w:rsidDel="00000000" w:rsidR="00000000" w:rsidRPr="00000000">
        <w:rPr>
          <w:rtl w:val="0"/>
        </w:rPr>
        <w:t xml:space="preserve">de grado, Universidad Católica de Los Ángeles de Chimbote]. </w:t>
      </w:r>
    </w:p>
    <w:p w:rsidR="00000000" w:rsidDel="00000000" w:rsidP="00000000" w:rsidRDefault="00000000" w:rsidRPr="00000000" w14:paraId="000000BA">
      <w:pPr>
        <w:ind w:firstLine="720"/>
        <w:rPr/>
      </w:pPr>
      <w:hyperlink r:id="rId10">
        <w:r w:rsidDel="00000000" w:rsidR="00000000" w:rsidRPr="00000000">
          <w:rPr>
            <w:color w:val="1155cc"/>
            <w:u w:val="single"/>
            <w:rtl w:val="0"/>
          </w:rPr>
          <w:t xml:space="preserve">https://bibliotecadigital.oducal.com/Record/ir-20.500.13032-27123?sid=261678</w:t>
        </w:r>
      </w:hyperlink>
      <w:r w:rsidDel="00000000" w:rsidR="00000000" w:rsidRPr="00000000">
        <w:rPr>
          <w:rtl w:val="0"/>
        </w:rPr>
        <w:t xml:space="preserve">  </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Organización Panamericana de la Salud – OPS. (2023). Atención primaria de salud. </w:t>
      </w:r>
    </w:p>
    <w:p w:rsidR="00000000" w:rsidDel="00000000" w:rsidP="00000000" w:rsidRDefault="00000000" w:rsidRPr="00000000" w14:paraId="000000BC">
      <w:pPr>
        <w:ind w:firstLine="720"/>
        <w:rPr/>
      </w:pPr>
      <w:r w:rsidDel="00000000" w:rsidR="00000000" w:rsidRPr="00000000">
        <w:rPr>
          <w:rtl w:val="0"/>
        </w:rPr>
        <w:t xml:space="preserve">OPS. </w:t>
      </w:r>
      <w:hyperlink r:id="rId11">
        <w:r w:rsidDel="00000000" w:rsidR="00000000" w:rsidRPr="00000000">
          <w:rPr>
            <w:color w:val="1155cc"/>
            <w:u w:val="single"/>
            <w:rtl w:val="0"/>
          </w:rPr>
          <w:t xml:space="preserve">https://www.paho.org/es/temas/atencion-primaria-salud</w:t>
        </w:r>
      </w:hyperlink>
      <w:r w:rsidDel="00000000" w:rsidR="00000000" w:rsidRPr="00000000">
        <w:rPr>
          <w:rtl w:val="0"/>
        </w:rPr>
        <w:t xml:space="preserve">  </w:t>
      </w:r>
    </w:p>
    <w:p w:rsidR="00000000" w:rsidDel="00000000" w:rsidP="00000000" w:rsidRDefault="00000000" w:rsidRPr="00000000" w14:paraId="000000BD">
      <w:pPr>
        <w:ind w:firstLine="720"/>
        <w:rPr/>
      </w:pPr>
      <w:r w:rsidDel="00000000" w:rsidR="00000000" w:rsidRPr="00000000">
        <w:rPr>
          <w:rtl w:val="0"/>
        </w:rPr>
      </w:r>
    </w:p>
    <w:p w:rsidR="00000000" w:rsidDel="00000000" w:rsidP="00000000" w:rsidRDefault="00000000" w:rsidRPr="00000000" w14:paraId="000000BE">
      <w:pPr>
        <w:numPr>
          <w:ilvl w:val="0"/>
          <w:numId w:val="4"/>
        </w:numPr>
        <w:ind w:left="720" w:hanging="360"/>
        <w:rPr>
          <w:u w:val="none"/>
        </w:rPr>
      </w:pPr>
      <w:r w:rsidDel="00000000" w:rsidR="00000000" w:rsidRPr="00000000">
        <w:rPr>
          <w:rtl w:val="0"/>
        </w:rPr>
        <w:t xml:space="preserve">Radio Programas del Perú – RPP. (2025, 9 de septiembre). Citas médicas en </w:t>
      </w:r>
    </w:p>
    <w:p w:rsidR="00000000" w:rsidDel="00000000" w:rsidP="00000000" w:rsidRDefault="00000000" w:rsidRPr="00000000" w14:paraId="000000BF">
      <w:pPr>
        <w:ind w:left="720" w:firstLine="0"/>
        <w:rPr/>
      </w:pPr>
      <w:r w:rsidDel="00000000" w:rsidR="00000000" w:rsidRPr="00000000">
        <w:rPr>
          <w:rtl w:val="0"/>
        </w:rPr>
        <w:t xml:space="preserve">EsSalud cada vez demoran más: informe técnico alerta sobre brechas en regiones </w:t>
      </w:r>
    </w:p>
    <w:p w:rsidR="00000000" w:rsidDel="00000000" w:rsidP="00000000" w:rsidRDefault="00000000" w:rsidRPr="00000000" w14:paraId="000000C0">
      <w:pPr>
        <w:ind w:left="72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y especialidades. RPP Noticias. </w:t>
      </w:r>
      <w:hyperlink r:id="rId12">
        <w:r w:rsidDel="00000000" w:rsidR="00000000" w:rsidRPr="00000000">
          <w:rPr>
            <w:color w:val="1155cc"/>
            <w:u w:val="single"/>
            <w:rtl w:val="0"/>
          </w:rPr>
          <w:t xml:space="preserve">https://rpp.pe/peru/actualidad/citas-medicas-en-essalud-cada-vez-demoran-mas-informe-tecnico-alerta-sobre-brechas-en-regiones-y-especialidades-noticia-1653580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footerReference r:id="rId14" w:type="default"/>
      <w:footerReference r:id="rId15" w:type="first"/>
      <w:pgSz w:h="16840" w:w="11907" w:orient="portrait"/>
      <w:pgMar w:bottom="1418" w:top="1276"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 w:val="center" w:leader="none" w:pos="595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Página</w:t>
      <w:tab/>
    </w:r>
    <w:r w:rsidDel="00000000" w:rsidR="00000000" w:rsidRPr="00000000">
      <w:rPr>
        <w:color w:val="7f7f7f"/>
        <w:rtl w:val="0"/>
      </w:rPr>
      <w:t xml:space="preserve">Mejia, D., Osorio, O., Quio, E., Socola, J. &amp; Villacorta, A.</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-1084896</wp:posOffset>
              </wp:positionH>
              <wp:positionV relativeFrom="paragraph">
                <wp:posOffset>-249417</wp:posOffset>
              </wp:positionV>
              <wp:extent cx="7672070" cy="1193469"/>
              <wp:effectExtent b="0" l="0" r="0" t="0"/>
              <wp:wrapNone/>
              <wp:docPr id="1" name=""/>
              <a:graphic>
                <a:graphicData uri="http://schemas.microsoft.com/office/word/2010/wordprocessingShape">
                  <wps:wsp>
                    <wps:cNvSpPr/>
                    <wps:cNvPr id="2" name="Shape 2"/>
                    <wps:spPr>
                      <a:xfrm>
                        <a:off x="1514728" y="3188028"/>
                        <a:ext cx="7662545" cy="1183944"/>
                      </a:xfrm>
                      <a:prstGeom prst="rect">
                        <a:avLst/>
                      </a:pr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-1084896</wp:posOffset>
              </wp:positionH>
              <wp:positionV relativeFrom="paragraph">
                <wp:posOffset>-249417</wp:posOffset>
              </wp:positionV>
              <wp:extent cx="7672070" cy="1193469"/>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72070" cy="119346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 w:val="left" w:leader="none" w:pos="6427"/>
        <w:tab w:val="right" w:leader="none" w:pos="8789"/>
      </w:tabs>
      <w:spacing w:after="0" w:before="0" w:line="240" w:lineRule="auto"/>
      <w:ind w:left="0" w:right="-284" w:firstLine="255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-813434</wp:posOffset>
          </wp:positionH>
          <wp:positionV relativeFrom="paragraph">
            <wp:posOffset>-352242</wp:posOffset>
          </wp:positionV>
          <wp:extent cx="982039" cy="982039"/>
          <wp:effectExtent b="0" l="0" r="0" t="0"/>
          <wp:wrapNone/>
          <wp:docPr descr="Forma&#10;&#10;Descripción generada automáticamente con confianza baja" id="3" name="image1.png"/>
          <a:graphic>
            <a:graphicData uri="http://schemas.openxmlformats.org/drawingml/2006/picture">
              <pic:pic>
                <pic:nvPicPr>
                  <pic:cNvPr descr="Forma&#10;&#10;Descripción generada automáticamente con confianza baja" id="0" name="image1.png"/>
                  <pic:cNvPicPr preferRelativeResize="0"/>
                </pic:nvPicPr>
                <pic:blipFill>
                  <a:blip r:embed="rId1"/>
                  <a:srcRect b="0" l="0" r="0" t="0"/>
                  <a:stretch>
                    <a:fillRect/>
                  </a:stretch>
                </pic:blipFill>
                <pic:spPr>
                  <a:xfrm>
                    <a:off x="0" y="0"/>
                    <a:ext cx="982039" cy="982039"/>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284" w:firstLine="2552"/>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SISTEMA WEB PARA LA GESTIÓN DE RESERVAS DE CITAS MÉDICAS HOSPITALARIAS PARA PREVENIR LA PÉRDIDA DE DATOS A TRAVÉS DE COPIAS DE SEGURIDAD EN LA NUBE PAAS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284" w:firstLine="2552"/>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left"/>
      <w:pPr>
        <w:ind w:left="360" w:hanging="360"/>
      </w:pPr>
      <w:rPr>
        <w:rFonts w:ascii="Arial" w:cs="Arial" w:eastAsia="Arial" w:hAnsi="Arial"/>
        <w:b w:val="1"/>
        <w:bCs w:val="1"/>
        <w:i w:val="0"/>
        <w:iCs w:val="0"/>
        <w:sz w:val="28"/>
        <w:szCs w:val="28"/>
      </w:rPr>
    </w:lvl>
    <w:lvl w:ilvl="1">
      <w:start w:val="1"/>
      <w:numFmt w:val="decimal"/>
      <w:lvlText w:val="%1.%2."/>
      <w:lvlJc w:val="left"/>
      <w:pPr>
        <w:ind w:left="964" w:hanging="604"/>
      </w:pPr>
      <w:rPr>
        <w:rFonts w:ascii="Arial" w:cs="Arial" w:eastAsia="Arial" w:hAnsi="Arial"/>
        <w:b w:val="1"/>
        <w:bCs w:val="1"/>
        <w:i w:val="0"/>
        <w:iCs w:val="0"/>
        <w:sz w:val="24"/>
        <w:szCs w:val="24"/>
      </w:rPr>
    </w:lvl>
    <w:lvl w:ilvl="2">
      <w:start w:val="1"/>
      <w:numFmt w:val="decimal"/>
      <w:lvlText w:val="%1.%2.%3."/>
      <w:lvlJc w:val="left"/>
      <w:pPr>
        <w:ind w:left="1588" w:hanging="624"/>
      </w:pPr>
      <w:rPr>
        <w:rFonts w:ascii="Arial" w:cs="Arial" w:eastAsia="Arial" w:hAnsi="Arial"/>
        <w:sz w:val="24"/>
        <w:szCs w:val="24"/>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after="120" w:before="12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120" w:before="120" w:line="240" w:lineRule="auto"/>
    </w:pPr>
    <w:rPr>
      <w:rFonts w:ascii="Arial" w:cs="Arial" w:eastAsia="Arial" w:hAnsi="Arial"/>
      <w:b w:val="0"/>
      <w:bCs w:val="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aho.org/es/temas/atencion-primaria-salud" TargetMode="External"/><Relationship Id="rId10" Type="http://schemas.openxmlformats.org/officeDocument/2006/relationships/hyperlink" Target="https://bibliotecadigital.oducal.com/Record/ir-20.500.13032-27123?sid=261678" TargetMode="External"/><Relationship Id="rId13" Type="http://schemas.openxmlformats.org/officeDocument/2006/relationships/header" Target="header1.xml"/><Relationship Id="rId12" Type="http://schemas.openxmlformats.org/officeDocument/2006/relationships/hyperlink" Target="https://rpp.pe/peru/actualidad/citas-medicas-en-essalud-cada-vez-demoran-mas-informe-tecnico-alerta-sobre-brechas-en-regiones-y-especialidades-noticia-16535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sitorio.ucv.edu.pe/handle/20.500.12692/100348"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positorio.ucv.edu.pe/handle/20.500.12692/88887" TargetMode="External"/><Relationship Id="rId8" Type="http://schemas.openxmlformats.org/officeDocument/2006/relationships/hyperlink" Target="https://tesis.usat.edu.pe/handle/20.500.12423/45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0x010100DDB29075BA92E549BA73CF65BBCCA77B</vt:lpwstr>
  </property>
</Properties>
</file>