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rma-board-cheat-sheet"/>
    <w:p>
      <w:pPr>
        <w:pStyle w:val="Heading1"/>
      </w:pPr>
      <w:r>
        <w:t xml:space="preserve">HRMA Board Cheat Sheet</w:t>
      </w:r>
    </w:p>
    <w:p>
      <w:pPr>
        <w:pStyle w:val="FirstParagraph"/>
      </w:pPr>
      <w:r>
        <w:rPr>
          <w:i/>
          <w:iCs/>
        </w:rPr>
        <w:t xml:space="preserve">Plain-English summary — not legal advice. The recorded documents control. Details, conditions and book/page citations: HRMA Board Quick Reference.</w:t>
      </w:r>
    </w:p>
    <w:p>
      <w:pPr>
        <w:pStyle w:val="BodyText"/>
        <w:sectPr>
          <w:footerReference r:id="rId9" w:type="default"/>
          <w:footnotePr>
            <w:numRestart w:val="eachSect"/>
          </w:footnotePr>
          <w:pgSz w:h="15840" w:w="12240"/>
          <w:pgMar w:bottom="720" w:footer="360" w:left="720" w:right="720" w:top="648"/>
        </w:sectPr>
      </w:pPr>
      <w:r>
        <w:rPr>
          <w:b/>
          <w:bCs/>
        </w:rPr>
        <w:t xml:space="preserve">CI</w:t>
      </w:r>
      <w:r>
        <w:t xml:space="preserve"> </w:t>
      </w:r>
      <w:r>
        <w:t xml:space="preserve">Cert. of Inc. ·</w:t>
      </w:r>
      <w:r>
        <w:t xml:space="preserve"> </w:t>
      </w:r>
      <w:r>
        <w:rPr>
          <w:b/>
          <w:bCs/>
        </w:rPr>
        <w:t xml:space="preserve">D88</w:t>
      </w:r>
      <w:r>
        <w:t xml:space="preserve"> </w:t>
      </w:r>
      <w:r>
        <w:t xml:space="preserve">1988 Declaration ·</w:t>
      </w:r>
      <w:r>
        <w:t xml:space="preserve"> </w:t>
      </w:r>
      <w:r>
        <w:rPr>
          <w:b/>
          <w:bCs/>
        </w:rPr>
        <w:t xml:space="preserve">DR</w:t>
      </w:r>
      <w:r>
        <w:t xml:space="preserve"> </w:t>
      </w:r>
      <w:r>
        <w:t xml:space="preserve">Decl. of Restrictions ·</w:t>
      </w:r>
      <w:r>
        <w:t xml:space="preserve"> </w:t>
      </w:r>
      <w:r>
        <w:rPr>
          <w:b/>
          <w:bCs/>
        </w:rPr>
        <w:t xml:space="preserve">BL</w:t>
      </w:r>
      <w:r>
        <w:t xml:space="preserve"> </w:t>
      </w:r>
      <w:r>
        <w:t xml:space="preserve">By-Laws ·</w:t>
      </w:r>
      <w:r>
        <w:t xml:space="preserve"> </w:t>
      </w:r>
      <w:r>
        <w:rPr>
          <w:b/>
          <w:bCs/>
        </w:rPr>
        <w:t xml:space="preserve">EA</w:t>
      </w:r>
      <w:r>
        <w:t xml:space="preserve"> </w:t>
      </w:r>
      <w:r>
        <w:t xml:space="preserve">Easement. Citation form: (DR V§6 p9) = Decl. of Restrictions Art. V §6, original page 9; (D88 ¶6(d) pp3–4); (CI Seventh p2); (BL "Vacancies" p4).</w:t>
      </w:r>
    </w:p>
    <w:bookmarkStart w:id="18" w:name="money"/>
    <w:p>
      <w:pPr>
        <w:pStyle w:val="Heading2"/>
      </w:pPr>
      <w:r>
        <w:t xml:space="preserve">Money</w:t>
      </w:r>
    </w:p>
    <w:p>
      <w:pPr>
        <w:pStyle w:val="Compact"/>
        <w:numPr>
          <w:ilvl w:val="0"/>
          <w:numId w:val="1001"/>
        </w:numPr>
        <w:ind w:left="230" w:hanging="173"/>
      </w:pPr>
      <w:r>
        <w:rPr>
          <w:b/>
          <w:bCs/>
        </w:rPr>
        <w:t xml:space="preserve">Annual amount</w:t>
      </w:r>
      <w:r>
        <w:t xml:space="preserve"> </w:t>
      </w:r>
      <w:r>
        <w:t xml:space="preserve">— Board fixes it before March 1; same rate for every lot (BL V§2(c)(i) p4; DR V§3 p8); CI says at the Board meeting before the annual meeting (CI Seventh p2) (conflict)</w:t>
      </w:r>
    </w:p>
    <w:p>
      <w:pPr>
        <w:pStyle w:val="Compact"/>
        <w:numPr>
          <w:ilvl w:val="0"/>
          <w:numId w:val="1001"/>
        </w:numPr>
        <w:ind w:left="230" w:hanging="173"/>
      </w:pPr>
      <w:r>
        <w:rPr>
          <w:b/>
          <w:bCs/>
        </w:rPr>
        <w:t xml:space="preserve">Changing it</w:t>
      </w:r>
      <w:r>
        <w:t xml:space="preserve"> </w:t>
      </w:r>
      <w:r>
        <w:t xml:space="preserve">— "any change" needs 2/3 of Class A members present at a meeting called for that purpose (DR V§3 p8) (conflict)</w:t>
      </w:r>
    </w:p>
    <w:p>
      <w:pPr>
        <w:pStyle w:val="Compact"/>
        <w:numPr>
          <w:ilvl w:val="0"/>
          <w:numId w:val="1001"/>
        </w:numPr>
        <w:ind w:left="230" w:hanging="173"/>
      </w:pPr>
      <w:r>
        <w:rPr>
          <w:b/>
          <w:bCs/>
        </w:rPr>
        <w:t xml:space="preserve">Due</w:t>
      </w:r>
      <w:r>
        <w:t xml:space="preserve"> </w:t>
      </w:r>
      <w:r>
        <w:t xml:space="preserve">— March 1; year runs March 1 to February 28 (DR V§4 p9)</w:t>
      </w:r>
    </w:p>
    <w:p>
      <w:pPr>
        <w:pStyle w:val="Compact"/>
        <w:numPr>
          <w:ilvl w:val="0"/>
          <w:numId w:val="1001"/>
        </w:numPr>
        <w:ind w:left="230" w:hanging="173"/>
      </w:pPr>
      <w:r>
        <w:rPr>
          <w:b/>
          <w:bCs/>
        </w:rPr>
        <w:t xml:space="preserve">Discount</w:t>
      </w:r>
      <w:r>
        <w:t xml:space="preserve"> </w:t>
      </w:r>
      <w:r>
        <w:t xml:space="preserve">— 20% if the treasurer receives payment "prior to the thirty-first day of March" (DR V§5 p9) (unclear)</w:t>
      </w:r>
    </w:p>
    <w:p>
      <w:pPr>
        <w:pStyle w:val="Compact"/>
        <w:numPr>
          <w:ilvl w:val="0"/>
          <w:numId w:val="1001"/>
        </w:numPr>
        <w:ind w:left="230" w:hanging="173"/>
      </w:pPr>
      <w:r>
        <w:rPr>
          <w:b/>
          <w:bCs/>
        </w:rPr>
        <w:t xml:space="preserve">Delinquent</w:t>
      </w:r>
      <w:r>
        <w:t xml:space="preserve"> </w:t>
      </w:r>
      <w:r>
        <w:t xml:space="preserve">— unpaid before April 1 (DR V§6 p9); 1988 wording differs (D88 ¶6(d) pp3–4) (conflict)</w:t>
      </w:r>
    </w:p>
    <w:p>
      <w:pPr>
        <w:pStyle w:val="Compact"/>
        <w:numPr>
          <w:ilvl w:val="0"/>
          <w:numId w:val="1001"/>
        </w:numPr>
        <w:ind w:left="230" w:hanging="173"/>
      </w:pPr>
      <w:r>
        <w:rPr>
          <w:b/>
          <w:bCs/>
        </w:rPr>
        <w:t xml:space="preserve">Interest</w:t>
      </w:r>
      <w:r>
        <w:t xml:space="preserve"> </w:t>
      </w:r>
      <w:r>
        <w:t xml:space="preserve">— Delaware legal rate from the due date, plus collection costs and reasonable attorney's fees; no late fee (DR V§6 p9)</w:t>
      </w:r>
    </w:p>
    <w:p>
      <w:pPr>
        <w:pStyle w:val="Compact"/>
        <w:numPr>
          <w:ilvl w:val="0"/>
          <w:numId w:val="1001"/>
        </w:numPr>
        <w:ind w:left="230" w:hanging="173"/>
      </w:pPr>
      <w:r>
        <w:rPr>
          <w:b/>
          <w:bCs/>
        </w:rPr>
        <w:t xml:space="preserve">Lien</w:t>
      </w:r>
      <w:r>
        <w:t xml:space="preserve"> </w:t>
      </w:r>
      <w:r>
        <w:t xml:space="preserve">— continuing lien, always behind any mortgage; HRMA may sue the owner personally or foreclose in court (DR V§6 pp9–10)</w:t>
      </w:r>
    </w:p>
    <w:p>
      <w:pPr>
        <w:pStyle w:val="Compact"/>
        <w:numPr>
          <w:ilvl w:val="0"/>
          <w:numId w:val="1001"/>
        </w:numPr>
        <w:ind w:left="230" w:hanging="173"/>
      </w:pPr>
      <w:r>
        <w:rPr>
          <w:b/>
          <w:bCs/>
        </w:rPr>
        <w:t xml:space="preserve">Status certificate</w:t>
      </w:r>
      <w:r>
        <w:t xml:space="preserve"> </w:t>
      </w:r>
      <w:r>
        <w:t xml:space="preserve">— written request from an owner or certifying attorney, plus $10.00; not mailed within 5 business days of receipt = all assessments deemed paid in full "within the discounted period" (DR V§7 pp10–11) (conflict)</w:t>
      </w:r>
    </w:p>
    <w:bookmarkEnd w:id="18"/>
    <w:bookmarkStart w:id="19" w:name="meetings--elections"/>
    <w:p>
      <w:pPr>
        <w:pStyle w:val="Heading2"/>
      </w:pPr>
      <w:r>
        <w:t xml:space="preserve">Meetings &amp; elections</w:t>
      </w:r>
    </w:p>
    <w:p>
      <w:pPr>
        <w:pStyle w:val="Compact"/>
        <w:numPr>
          <w:ilvl w:val="0"/>
          <w:numId w:val="1002"/>
        </w:numPr>
        <w:ind w:left="230" w:hanging="173"/>
      </w:pPr>
      <w:r>
        <w:rPr>
          <w:b/>
          <w:bCs/>
        </w:rPr>
        <w:t xml:space="preserve">Annual meeting</w:t>
      </w:r>
      <w:r>
        <w:t xml:space="preserve"> </w:t>
      </w:r>
      <w:r>
        <w:t xml:space="preserve">— first Tuesday in March, 8:00 p.m. (BL IV§1 p2)</w:t>
      </w:r>
    </w:p>
    <w:p>
      <w:pPr>
        <w:pStyle w:val="Compact"/>
        <w:numPr>
          <w:ilvl w:val="0"/>
          <w:numId w:val="1002"/>
        </w:numPr>
        <w:ind w:left="230" w:hanging="173"/>
      </w:pPr>
      <w:r>
        <w:rPr>
          <w:b/>
          <w:bCs/>
        </w:rPr>
        <w:t xml:space="preserve">Notice</w:t>
      </w:r>
      <w:r>
        <w:t xml:space="preserve"> </w:t>
      </w:r>
      <w:r>
        <w:t xml:space="preserve">— in person or by mail, 10 to 50 days ahead, stating the purposes (BL IV§3 pp2–3)</w:t>
      </w:r>
    </w:p>
    <w:p>
      <w:pPr>
        <w:pStyle w:val="Compact"/>
        <w:numPr>
          <w:ilvl w:val="0"/>
          <w:numId w:val="1002"/>
        </w:numPr>
        <w:ind w:left="230" w:hanging="173"/>
      </w:pPr>
      <w:r>
        <w:rPr>
          <w:b/>
          <w:bCs/>
        </w:rPr>
        <w:t xml:space="preserve">Quorum</w:t>
      </w:r>
      <w:r>
        <w:t xml:space="preserve"> </w:t>
      </w:r>
      <w:r>
        <w:t xml:space="preserve">— 60% of the total membership vote, in person or by proxy (BL IV§4 p3)</w:t>
      </w:r>
    </w:p>
    <w:p>
      <w:pPr>
        <w:pStyle w:val="Compact"/>
        <w:numPr>
          <w:ilvl w:val="0"/>
          <w:numId w:val="1002"/>
        </w:numPr>
        <w:ind w:left="230" w:hanging="173"/>
      </w:pPr>
      <w:r>
        <w:rPr>
          <w:b/>
          <w:bCs/>
        </w:rPr>
        <w:t xml:space="preserve">Proxies</w:t>
      </w:r>
      <w:r>
        <w:t xml:space="preserve"> </w:t>
      </w:r>
      <w:r>
        <w:t xml:space="preserve">— written; void if given more than 11 months before the meeting (BL IV§4 p3)</w:t>
      </w:r>
    </w:p>
    <w:p>
      <w:pPr>
        <w:pStyle w:val="Compact"/>
        <w:numPr>
          <w:ilvl w:val="0"/>
          <w:numId w:val="1002"/>
        </w:numPr>
        <w:ind w:left="230" w:hanging="173"/>
      </w:pPr>
      <w:r>
        <w:rPr>
          <w:b/>
          <w:bCs/>
        </w:rPr>
        <w:t xml:space="preserve">Ballots</w:t>
      </w:r>
      <w:r>
        <w:t xml:space="preserve"> </w:t>
      </w:r>
      <w:r>
        <w:t xml:space="preserve">— mailed at least 14 days before the return date, which is no later than the day before the meeting (BL VII§4 pp5–6)</w:t>
      </w:r>
    </w:p>
    <w:p>
      <w:pPr>
        <w:pStyle w:val="Compact"/>
        <w:numPr>
          <w:ilvl w:val="0"/>
          <w:numId w:val="1002"/>
        </w:numPr>
        <w:ind w:left="230" w:hanging="173"/>
      </w:pPr>
      <w:r>
        <w:rPr>
          <w:b/>
          <w:bCs/>
        </w:rPr>
        <w:t xml:space="preserve">Count</w:t>
      </w:r>
      <w:r>
        <w:t xml:space="preserve"> </w:t>
      </w:r>
      <w:r>
        <w:t xml:space="preserve">— 3-person Election Committee; most votes wins; keep ballots 90 days (BL VII§1 p5; VII§6 p6)</w:t>
      </w:r>
    </w:p>
    <w:bookmarkEnd w:id="19"/>
    <w:bookmarkStart w:id="20" w:name="board--officers"/>
    <w:p>
      <w:pPr>
        <w:pStyle w:val="Heading2"/>
      </w:pPr>
      <w:r>
        <w:t xml:space="preserve">Board &amp; officers</w:t>
      </w:r>
    </w:p>
    <w:p>
      <w:pPr>
        <w:pStyle w:val="Compact"/>
        <w:numPr>
          <w:ilvl w:val="0"/>
          <w:numId w:val="1003"/>
        </w:numPr>
        <w:ind w:left="230" w:hanging="173"/>
      </w:pPr>
      <w:r>
        <w:rPr>
          <w:b/>
          <w:bCs/>
        </w:rPr>
        <w:t xml:space="preserve">Size</w:t>
      </w:r>
      <w:r>
        <w:t xml:space="preserve"> </w:t>
      </w:r>
      <w:r>
        <w:t xml:space="preserve">— 3 or more directors; term not stated (BL V§1 p3)</w:t>
      </w:r>
    </w:p>
    <w:p>
      <w:pPr>
        <w:pStyle w:val="Compact"/>
        <w:numPr>
          <w:ilvl w:val="0"/>
          <w:numId w:val="1003"/>
        </w:numPr>
        <w:ind w:left="230" w:hanging="173"/>
      </w:pPr>
      <w:r>
        <w:rPr>
          <w:b/>
          <w:bCs/>
        </w:rPr>
        <w:t xml:space="preserve">Quorum</w:t>
      </w:r>
      <w:r>
        <w:t xml:space="preserve"> </w:t>
      </w:r>
      <w:r>
        <w:t xml:space="preserve">— majority of the Board (BL VI§5 p5)</w:t>
      </w:r>
    </w:p>
    <w:p>
      <w:pPr>
        <w:pStyle w:val="Compact"/>
        <w:numPr>
          <w:ilvl w:val="0"/>
          <w:numId w:val="1003"/>
        </w:numPr>
        <w:ind w:left="230" w:hanging="173"/>
      </w:pPr>
      <w:r>
        <w:rPr>
          <w:b/>
          <w:bCs/>
        </w:rPr>
        <w:t xml:space="preserve">Regular meetings</w:t>
      </w:r>
      <w:r>
        <w:t xml:space="preserve"> </w:t>
      </w:r>
      <w:r>
        <w:t xml:space="preserve">— first Tuesday of June, September and December, 8:00 p.m. (BL VI§2 p4)</w:t>
      </w:r>
    </w:p>
    <w:p>
      <w:pPr>
        <w:pStyle w:val="Compact"/>
        <w:numPr>
          <w:ilvl w:val="0"/>
          <w:numId w:val="1003"/>
        </w:numPr>
        <w:ind w:left="230" w:hanging="173"/>
      </w:pPr>
      <w:r>
        <w:rPr>
          <w:b/>
          <w:bCs/>
        </w:rPr>
        <w:t xml:space="preserve">Absences</w:t>
      </w:r>
      <w:r>
        <w:t xml:space="preserve"> </w:t>
      </w:r>
      <w:r>
        <w:t xml:space="preserve">— Board may declare a seat vacant at the director's third consecutive missed regular meeting (BL V§1(e) p3)</w:t>
      </w:r>
    </w:p>
    <w:p>
      <w:pPr>
        <w:pStyle w:val="Compact"/>
        <w:numPr>
          <w:ilvl w:val="0"/>
          <w:numId w:val="1003"/>
        </w:numPr>
        <w:ind w:left="230" w:hanging="173"/>
      </w:pPr>
      <w:r>
        <w:rPr>
          <w:b/>
          <w:bCs/>
        </w:rPr>
        <w:t xml:space="preserve">Vacancies</w:t>
      </w:r>
      <w:r>
        <w:t xml:space="preserve"> </w:t>
      </w:r>
      <w:r>
        <w:t xml:space="preserve">— remaining directors fill by majority; term differs between CI and BL (CI Seventh p2; BL "Vacancies" p4) (conflict)</w:t>
      </w:r>
    </w:p>
    <w:p>
      <w:pPr>
        <w:pStyle w:val="Compact"/>
        <w:numPr>
          <w:ilvl w:val="0"/>
          <w:numId w:val="1003"/>
        </w:numPr>
        <w:ind w:left="230" w:hanging="173"/>
      </w:pPr>
      <w:r>
        <w:rPr>
          <w:b/>
          <w:bCs/>
        </w:rPr>
        <w:t xml:space="preserve">Officers</w:t>
      </w:r>
      <w:r>
        <w:t xml:space="preserve"> </w:t>
      </w:r>
      <w:r>
        <w:t xml:space="preserve">— President and at least one VP must be directors (BL VIII§1 pp6–7)</w:t>
      </w:r>
    </w:p>
    <w:p>
      <w:pPr>
        <w:pStyle w:val="Compact"/>
        <w:numPr>
          <w:ilvl w:val="0"/>
          <w:numId w:val="1003"/>
        </w:numPr>
        <w:ind w:left="230" w:hanging="173"/>
      </w:pPr>
      <w:r>
        <w:rPr>
          <w:b/>
          <w:bCs/>
        </w:rPr>
        <w:t xml:space="preserve">Checks</w:t>
      </w:r>
      <w:r>
        <w:t xml:space="preserve"> </w:t>
      </w:r>
      <w:r>
        <w:t xml:space="preserve">— Treasurer plus the President or a VP (BL VIII§6 p7)</w:t>
      </w:r>
    </w:p>
    <w:bookmarkEnd w:id="20"/>
    <w:bookmarkStart w:id="21" w:name="architectural-review"/>
    <w:p>
      <w:pPr>
        <w:pStyle w:val="Heading2"/>
      </w:pPr>
      <w:r>
        <w:t xml:space="preserve">Architectural review</w:t>
      </w:r>
    </w:p>
    <w:p>
      <w:pPr>
        <w:pStyle w:val="Compact"/>
        <w:numPr>
          <w:ilvl w:val="0"/>
          <w:numId w:val="1004"/>
        </w:numPr>
        <w:ind w:left="230" w:hanging="173"/>
      </w:pPr>
      <w:r>
        <w:rPr>
          <w:b/>
          <w:bCs/>
        </w:rPr>
        <w:t xml:space="preserve">Who reviews</w:t>
      </w:r>
      <w:r>
        <w:t xml:space="preserve"> </w:t>
      </w:r>
      <w:r>
        <w:t xml:space="preserve">— the "Declarant," which may assign review to the Board; no assignment in these files (DR II§2 p6) (unclear)</w:t>
      </w:r>
    </w:p>
    <w:p>
      <w:pPr>
        <w:pStyle w:val="Compact"/>
        <w:numPr>
          <w:ilvl w:val="0"/>
          <w:numId w:val="1004"/>
        </w:numPr>
        <w:ind w:left="230" w:hanging="173"/>
      </w:pPr>
      <w:r>
        <w:rPr>
          <w:b/>
          <w:bCs/>
        </w:rPr>
        <w:t xml:space="preserve">Approval first</w:t>
      </w:r>
      <w:r>
        <w:t xml:space="preserve"> </w:t>
      </w:r>
      <w:r>
        <w:t xml:space="preserve">— written approval before starting any building, shed, dish, fence, wall, pool, solar panel (unless inside a privacy fence) or other construction, or any exterior color, grade or drainage change (DR II§1 pp5–6)</w:t>
      </w:r>
    </w:p>
    <w:p>
      <w:pPr>
        <w:pStyle w:val="Compact"/>
        <w:numPr>
          <w:ilvl w:val="0"/>
          <w:numId w:val="1004"/>
        </w:numPr>
        <w:ind w:left="230" w:hanging="173"/>
      </w:pPr>
      <w:r>
        <w:rPr>
          <w:b/>
          <w:bCs/>
        </w:rPr>
        <w:t xml:space="preserve">30 days</w:t>
      </w:r>
      <w:r>
        <w:t xml:space="preserve"> </w:t>
      </w:r>
      <w:r>
        <w:t xml:space="preserve">— no decision within 30 days of submission = approved (DR II§1 p6)</w:t>
      </w:r>
    </w:p>
    <w:p>
      <w:pPr>
        <w:pStyle w:val="Compact"/>
        <w:numPr>
          <w:ilvl w:val="0"/>
          <w:numId w:val="1004"/>
        </w:numPr>
        <w:ind w:left="230" w:hanging="173"/>
      </w:pPr>
      <w:r>
        <w:rPr>
          <w:b/>
          <w:bCs/>
        </w:rPr>
        <w:t xml:space="preserve">Appeal</w:t>
      </w:r>
      <w:r>
        <w:t xml:space="preserve"> </w:t>
      </w:r>
      <w:r>
        <w:t xml:space="preserve">— meet the applicant within 2 weeks of the written appeal; written decision within 30 days after that meeting, or the rejection is cancelled (DR II§2 p6)</w:t>
      </w:r>
    </w:p>
    <w:bookmarkEnd w:id="21"/>
    <w:bookmarkStart w:id="22" w:name="use-restrictions"/>
    <w:p>
      <w:pPr>
        <w:pStyle w:val="Heading2"/>
      </w:pPr>
      <w:r>
        <w:t xml:space="preserve">Use restrictions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Sheds</w:t>
      </w:r>
      <w:r>
        <w:t xml:space="preserve"> </w:t>
      </w:r>
      <w:r>
        <w:t xml:space="preserve">— 120 sq ft max, behind the house's rear-most wall, approval needed; no prefabricated metal sheds (DR I§1 p2)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Fences</w:t>
      </w:r>
      <w:r>
        <w:t xml:space="preserve"> </w:t>
      </w:r>
      <w:r>
        <w:t xml:space="preserve">— pressure-treated wood only, approval needed; 6 ft between lots, 4 ft others; none within 15 ft of the rear line, with exceptions (DR I§9 p4)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Pools</w:t>
      </w:r>
      <w:r>
        <w:t xml:space="preserve"> </w:t>
      </w:r>
      <w:r>
        <w:t xml:space="preserve">— no above-ground; in-ground with approval (DR I§11 p4)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Vehicles</w:t>
      </w:r>
      <w:r>
        <w:t xml:space="preserve"> </w:t>
      </w:r>
      <w:r>
        <w:t xml:space="preserve">— trucks, boats, trailers, campers only in an enclosed garage; pickups to 3/4 ton and enclosed vans to 10,000 lbs G.V.W., 7 ft tall max, in garage or driveway, not the street (DR I§7 p3)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Signs</w:t>
      </w:r>
      <w:r>
        <w:t xml:space="preserve"> </w:t>
      </w:r>
      <w:r>
        <w:t xml:space="preserve">— only one "For Sale" sign, 6 sq ft max (DR I§8 p3)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Dishes and antennas</w:t>
      </w:r>
      <w:r>
        <w:t xml:space="preserve"> </w:t>
      </w:r>
      <w:r>
        <w:t xml:space="preserve">— dish 4 ft max, approved, inside a privacy fence; antenna on the house, 10 ft max above the roof peak (DR I§5 p3)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Pets</w:t>
      </w:r>
      <w:r>
        <w:t xml:space="preserve"> </w:t>
      </w:r>
      <w:r>
        <w:t xml:space="preserve">— household pets only; dogs not outside 10:00 p.m.–6:00 a.m. unless with a responsible person (DR I§3 pp2–3)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Trash</w:t>
      </w:r>
      <w:r>
        <w:t xml:space="preserve"> </w:t>
      </w:r>
      <w:r>
        <w:t xml:space="preserve">— enclosed, out of sight; at the curb only temporarily on collection days (DR I§6 p3)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Power equipment</w:t>
      </w:r>
      <w:r>
        <w:t xml:space="preserve"> </w:t>
      </w:r>
      <w:r>
        <w:t xml:space="preserve">— not before 7:00 a.m. or after 9:00 p.m. (DR I§14 p5)</w:t>
      </w:r>
    </w:p>
    <w:p>
      <w:pPr>
        <w:pStyle w:val="Compact"/>
        <w:numPr>
          <w:ilvl w:val="0"/>
          <w:numId w:val="1005"/>
        </w:numPr>
        <w:ind w:left="230" w:hanging="173"/>
      </w:pPr>
      <w:r>
        <w:rPr>
          <w:b/>
          <w:bCs/>
        </w:rPr>
        <w:t xml:space="preserve">Windows</w:t>
      </w:r>
      <w:r>
        <w:t xml:space="preserve"> </w:t>
      </w:r>
      <w:r>
        <w:t xml:space="preserve">— shades, curtains and blinds white or off-white (DR I§18 p5)</w:t>
      </w:r>
    </w:p>
    <w:bookmarkEnd w:id="22"/>
    <w:bookmarkStart w:id="23" w:name="enforcement"/>
    <w:p>
      <w:pPr>
        <w:pStyle w:val="Heading2"/>
      </w:pPr>
      <w:r>
        <w:t xml:space="preserve">Enforcement</w:t>
      </w:r>
    </w:p>
    <w:p>
      <w:pPr>
        <w:pStyle w:val="Compact"/>
        <w:numPr>
          <w:ilvl w:val="0"/>
          <w:numId w:val="1006"/>
        </w:numPr>
        <w:ind w:left="230" w:hanging="173"/>
      </w:pPr>
      <w:r>
        <w:rPr>
          <w:b/>
          <w:bCs/>
        </w:rPr>
        <w:t xml:space="preserve">Who sues</w:t>
      </w:r>
      <w:r>
        <w:t xml:space="preserve"> </w:t>
      </w:r>
      <w:r>
        <w:t xml:space="preserve">— the Declarant or any owner; no assignment to HRMA in these files (DR VIII pp12–13) (unclear)</w:t>
      </w:r>
    </w:p>
    <w:p>
      <w:pPr>
        <w:pStyle w:val="Compact"/>
        <w:numPr>
          <w:ilvl w:val="0"/>
          <w:numId w:val="1006"/>
        </w:numPr>
        <w:ind w:left="230" w:hanging="173"/>
      </w:pPr>
      <w:r>
        <w:rPr>
          <w:b/>
          <w:bCs/>
        </w:rPr>
        <w:t xml:space="preserve">Remedies</w:t>
      </w:r>
      <w:r>
        <w:t xml:space="preserve"> </w:t>
      </w:r>
      <w:r>
        <w:t xml:space="preserve">— court order, damages or lien enforcement; loser pays reasonable attorney's fees unless the court orders otherwise (DR VIII pp12–13)</w:t>
      </w:r>
    </w:p>
    <w:p>
      <w:pPr>
        <w:pStyle w:val="Compact"/>
        <w:numPr>
          <w:ilvl w:val="0"/>
          <w:numId w:val="1006"/>
        </w:numPr>
        <w:ind w:left="230" w:hanging="173"/>
      </w:pPr>
      <w:r>
        <w:rPr>
          <w:b/>
          <w:bCs/>
        </w:rPr>
        <w:t xml:space="preserve">No waiver</w:t>
      </w:r>
      <w:r>
        <w:t xml:space="preserve"> </w:t>
      </w:r>
      <w:r>
        <w:t xml:space="preserve">— delay doesn't waive a rule (DR VIII p12)</w:t>
      </w:r>
    </w:p>
    <w:p>
      <w:pPr>
        <w:pStyle w:val="Compact"/>
        <w:numPr>
          <w:ilvl w:val="0"/>
          <w:numId w:val="1006"/>
        </w:numPr>
        <w:ind w:left="230" w:hanging="173"/>
      </w:pPr>
      <w:r>
        <w:rPr>
          <w:b/>
          <w:bCs/>
        </w:rPr>
        <w:t xml:space="preserve">Not provided</w:t>
      </w:r>
      <w:r>
        <w:t xml:space="preserve"> </w:t>
      </w:r>
      <w:r>
        <w:t xml:space="preserve">— fines, or a hearing before enforcing use rules</w:t>
      </w:r>
    </w:p>
    <w:bookmarkEnd w:id="23"/>
    <w:bookmarkStart w:id="24" w:name="changing-the-documents"/>
    <w:p>
      <w:pPr>
        <w:pStyle w:val="Heading2"/>
      </w:pPr>
      <w:r>
        <w:t xml:space="preserve">Changing the documents</w:t>
      </w:r>
    </w:p>
    <w:p>
      <w:pPr>
        <w:pStyle w:val="Compact"/>
        <w:numPr>
          <w:ilvl w:val="0"/>
          <w:numId w:val="1007"/>
        </w:numPr>
        <w:ind w:left="230" w:hanging="173"/>
      </w:pPr>
      <w:r>
        <w:rPr>
          <w:b/>
          <w:bCs/>
        </w:rPr>
        <w:t xml:space="preserve">DR</w:t>
      </w:r>
      <w:r>
        <w:t xml:space="preserve"> </w:t>
      </w:r>
      <w:r>
        <w:t xml:space="preserve">— signed by record owners of 2/3 of the lots, then recorded (DR VI p11)</w:t>
      </w:r>
    </w:p>
    <w:p>
      <w:pPr>
        <w:pStyle w:val="Compact"/>
        <w:numPr>
          <w:ilvl w:val="0"/>
          <w:numId w:val="1007"/>
        </w:numPr>
        <w:ind w:left="230" w:hanging="173"/>
      </w:pPr>
      <w:r>
        <w:rPr>
          <w:b/>
          <w:bCs/>
        </w:rPr>
        <w:t xml:space="preserve">D88</w:t>
      </w:r>
      <w:r>
        <w:t xml:space="preserve"> </w:t>
      </w:r>
      <w:r>
        <w:t xml:space="preserve">— needs New Castle County Council approval (D88 ¶16 pp6–7)</w:t>
      </w:r>
    </w:p>
    <w:p>
      <w:pPr>
        <w:pStyle w:val="Compact"/>
        <w:numPr>
          <w:ilvl w:val="0"/>
          <w:numId w:val="1007"/>
        </w:numPr>
        <w:ind w:left="230" w:hanging="173"/>
      </w:pPr>
      <w:r>
        <w:rPr>
          <w:b/>
          <w:bCs/>
        </w:rPr>
        <w:t xml:space="preserve">By-Laws</w:t>
      </w:r>
      <w:r>
        <w:t xml:space="preserve"> </w:t>
      </w:r>
      <w:r>
        <w:t xml:space="preserve">— BL says members; CI says Directors, and CI controls over BL (BL XII§1–§2 pp9–10; CI Sixth p2) (conflict)</w:t>
      </w:r>
    </w:p>
    <w:bookmarkEnd w:id="24"/>
    <w:bookmarkStart w:id="25" w:name="confirm-with-counsel"/>
    <w:p>
      <w:pPr>
        <w:pStyle w:val="Heading2"/>
      </w:pPr>
      <w:r>
        <w:t xml:space="preserve">Confirm with counsel</w:t>
      </w:r>
    </w:p>
    <w:p>
      <w:pPr>
        <w:pStyle w:val="Compact"/>
        <w:numPr>
          <w:ilvl w:val="0"/>
          <w:numId w:val="1008"/>
        </w:numPr>
        <w:ind w:left="230" w:hanging="173"/>
      </w:pPr>
      <w:r>
        <w:rPr>
          <w:b/>
          <w:bCs/>
        </w:rPr>
        <w:t xml:space="preserve">Powers</w:t>
      </w:r>
      <w:r>
        <w:t xml:space="preserve"> </w:t>
      </w:r>
      <w:r>
        <w:t xml:space="preserve">— was review or enforcement ever assigned to HRMA? (DR II§2 p6; DR VIII pp12–13)</w:t>
      </w:r>
    </w:p>
    <w:p>
      <w:pPr>
        <w:pStyle w:val="Compact"/>
        <w:numPr>
          <w:ilvl w:val="0"/>
          <w:numId w:val="1008"/>
        </w:numPr>
        <w:ind w:left="230" w:hanging="173"/>
      </w:pPr>
      <w:r>
        <w:rPr>
          <w:b/>
          <w:bCs/>
        </w:rPr>
        <w:t xml:space="preserve">By-Laws</w:t>
      </w:r>
      <w:r>
        <w:t xml:space="preserve"> </w:t>
      </w:r>
      <w:r>
        <w:t xml:space="preserve">— who amends them (CI Sixth p2; BL XII§1 pp9–10)</w:t>
      </w:r>
    </w:p>
    <w:p>
      <w:pPr>
        <w:pStyle w:val="Compact"/>
        <w:numPr>
          <w:ilvl w:val="0"/>
          <w:numId w:val="1008"/>
        </w:numPr>
        <w:ind w:left="230" w:hanging="173"/>
      </w:pPr>
      <w:r>
        <w:rPr>
          <w:b/>
          <w:bCs/>
        </w:rPr>
        <w:t xml:space="preserve">Assessments</w:t>
      </w:r>
      <w:r>
        <w:t xml:space="preserve"> </w:t>
      </w:r>
      <w:r>
        <w:t xml:space="preserve">— Board fixing vs. the 2/3 member vote; whether special assessments need a vote (DR V§3 p8; BL V§2(c)(ii) p4)</w:t>
      </w:r>
    </w:p>
    <w:bookmarkEnd w:id="25"/>
    <w:bookmarkEnd w:id="26"/>
    <w:sectPr>
      <w:footerReference r:id="rId9" w:type="default"/>
      <w:footnotePr>
        <w:numRestart w:val="eachSect"/>
      </w:footnotePr>
      <w:type w:val="continuous"/>
      <w:pgSz w:h="15840" w:w="12240"/>
      <w:pgMar w:bottom="720" w:footer="360" w:left="720" w:right="720" w:top="648"/>
      <w:cols w:num="2" w:space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color w:val="555555"/>
        <w:sz w:val="18"/>
      </w:rPr>
      <w:t xml:space="preserve">HRMA Board Cheat Sheet — conditions and book/page citations are in the HRMA Board Quick Reference  ·  Page </w:t>
    </w:r>
    <w:r>
      <w:rPr>
        <w:rFonts w:ascii="Times New Roman" w:hAnsi="Times New Roman"/>
        <w:color w:val="555555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/>
        <w:color w:val="555555"/>
        <w:sz w:val="18"/>
      </w:rPr>
      <w:t xml:space="preserve"> of </w:t>
    </w:r>
    <w:r>
      <w:rPr>
        <w:rFonts w:ascii="Times New Roman" w:hAnsi="Times New Roman"/>
        <w:color w:val="555555"/>
        <w:sz w:val="18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30" w:before="0" w:line="240" w:lineRule="auto"/>
    </w:pPr>
    <w:rPr>
      <w:rFonts w:ascii="Times New Roman" w:cs="Times New Roman" w:eastAsia="Times New Roman" w:hAnsi="Times New Roman"/>
      <w:color w:val="000000"/>
      <w:sz w:val="18"/>
    </w:rPr>
  </w:style>
  <w:style w:styleId="BodyText" w:type="paragraph">
    <w:name w:val="Body Text"/>
    <w:basedOn w:val="Normal"/>
    <w:link w:val="BodyTextChar"/>
    <w:qFormat/>
    <w:pPr>
      <w:spacing w:after="30" w:before="0" w:line="240" w:lineRule="auto"/>
    </w:pPr>
    <w:rPr>
      <w:rFonts w:ascii="Times New Roman" w:cs="Times New Roman" w:eastAsia="Times New Roman" w:hAnsi="Times New Roman"/>
      <w:color w:val="000000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30" w:before="0" w:line="240" w:lineRule="auto"/>
    </w:pPr>
    <w:rPr>
      <w:rFonts w:ascii="Times New Roman" w:cs="Times New Roman" w:eastAsia="Times New Roman" w:hAnsi="Times New Roman"/>
      <w:color w:val="000000"/>
      <w:sz w:val="18"/>
    </w:rPr>
  </w:style>
  <w:style w:customStyle="1" w:styleId="Compact" w:type="paragraph">
    <w:name w:val="Compact"/>
    <w:basedOn w:val="BodyText"/>
    <w:qFormat/>
    <w:pPr>
      <w:spacing w:after="30" w:before="0" w:line="240" w:lineRule="auto"/>
    </w:pPr>
    <w:rPr>
      <w:rFonts w:ascii="Times New Roman" w:cs="Times New Roman" w:eastAsia="Times New Roman" w:hAnsi="Times New Roman"/>
      <w:color w:val="000000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0"/>
      <w:jc w:val="center"/>
      <w:outlineLvl w:val="0"/>
    </w:pPr>
    <w:rPr>
      <w:rFonts w:ascii="Times New Roman" w:cs="Times New Roman" w:eastAsia="Times New Roman" w:hAnsi="Times New Roman"/>
      <w:b/>
      <w:color w:val="000000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0" w:before="100"/>
      <w:jc w:val="left"/>
      <w:outlineLvl w:val="1"/>
    </w:pPr>
    <w:rPr>
      <w:rFonts w:ascii="Times New Roman" w:cs="Times New Roman" w:eastAsia="Times New Roman" w:hAnsi="Times New Roman"/>
      <w:b/>
      <w:color w:val="000000"/>
      <w:sz w:val="21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80"/>
      <w:jc w:val="center"/>
      <w:outlineLvl w:val="2"/>
    </w:pPr>
    <w:rPr>
      <w:rFonts w:ascii="Times New Roman" w:cs="Times New Roman" w:eastAsia="Times New Roman" w:hAnsi="Times New Roman"/>
      <w:b/>
      <w:color w:val="000000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100" w:line="276" w:lineRule="auto"/>
      <w:ind w:firstLine="0" w:left="0" w:right="0"/>
    </w:pPr>
    <w:rPr>
      <w:rFonts w:ascii="Times New Roman" w:cs="Times New Roman" w:eastAsia="Times New Roman" w:hAnsi="Times New Roman"/>
      <w:color w:val="444444"/>
      <w:sz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HRMA Board Cheat Sheet</dc:title>
  <dc:creator>Hunter's Ridge Maintenance Association</dc:creator>
  <cp:keywords/>
  <dcterms:created xsi:type="dcterms:W3CDTF">2026-10-14T01:49:25Z</dcterms:created>
  <dcterms:modified xsi:type="dcterms:W3CDTF">2026-10-14T01:49:25Z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