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F72"/>
          <w:sz w:val="48"/>
        </w:rPr>
        <w:t>Business Model and Revenue Architecture</w:t>
      </w:r>
    </w:p>
    <w:p>
      <w:pPr>
        <w:jc w:val="center"/>
      </w:pPr>
      <w:r>
        <w:rPr>
          <w:i/>
          <w:color w:val="5A5A5A"/>
          <w:sz w:val="22"/>
        </w:rPr>
        <w:t>How Barangay Buddy earns without charging vulnerable participants</w:t>
      </w:r>
    </w:p>
    <w:p>
      <w:pPr>
        <w:pStyle w:val="Heading1"/>
      </w:pPr>
      <w:r>
        <w:t>Revenue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43F72"/>
          </w:tcPr>
          <w:p>
            <w:r/>
            <w:r>
              <w:rPr>
                <w:b/>
                <w:color w:val="FFFFFF"/>
                <w:sz w:val="16"/>
              </w:rPr>
              <w:t>Revenue Stream</w:t>
            </w:r>
          </w:p>
        </w:tc>
        <w:tc>
          <w:tcPr>
            <w:tcW w:type="dxa" w:w="2016"/>
            <w:vAlign w:val="center"/>
            <w:shd w:fill="143F72"/>
          </w:tcPr>
          <w:p>
            <w:r/>
            <w:r>
              <w:rPr>
                <w:b/>
                <w:color w:val="FFFFFF"/>
                <w:sz w:val="16"/>
              </w:rPr>
              <w:t>Pricing Basis</w:t>
            </w:r>
          </w:p>
        </w:tc>
        <w:tc>
          <w:tcPr>
            <w:tcW w:type="dxa" w:w="2016"/>
            <w:vAlign w:val="center"/>
            <w:shd w:fill="143F72"/>
          </w:tcPr>
          <w:p>
            <w:r/>
            <w:r>
              <w:rPr>
                <w:b/>
                <w:color w:val="FFFFFF"/>
                <w:sz w:val="16"/>
              </w:rPr>
              <w:t>Gross Margin Potential</w:t>
            </w:r>
          </w:p>
        </w:tc>
        <w:tc>
          <w:tcPr>
            <w:tcW w:type="dxa" w:w="2016"/>
            <w:vAlign w:val="center"/>
            <w:shd w:fill="143F72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016"/>
            <w:vAlign w:val="center"/>
            <w:shd w:fill="143F72"/>
          </w:tcPr>
          <w:p>
            <w:r/>
            <w:r>
              <w:rPr>
                <w:b/>
                <w:color w:val="FFFFFF"/>
                <w:sz w:val="16"/>
              </w:rPr>
              <w:t>Launch Phase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Merchant commissions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% of completed order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Transactional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Marketplace MVP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Delivery margin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Fee less driver pay/costs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Low-Medium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Transactional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Express MVP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Merchant subscriptions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Monthly tier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Recurring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After merchant value proven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Sponsored placement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Fixed campaign or CPM-style package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Recurring/campaign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Early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Spotlight sponsorship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Monthly and event packages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Recurring/campaign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Early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Talent booking commission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10-15% of completed booking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Transactional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Spotlight MVP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Lead fees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Qualified lead or subscription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Transactional/recurring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Later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Software services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POS, analytics, CRM, loyalty modules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Recurring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Later</w:t>
            </w:r>
          </w:p>
        </w:tc>
      </w:tr>
    </w:tbl>
    <w:p>
      <w:pPr>
        <w:pStyle w:val="Heading1"/>
      </w:pPr>
      <w:r>
        <w:t>Financial Discipline</w:t>
      </w:r>
    </w:p>
    <w:p>
      <w:pPr>
        <w:pStyle w:val="ListBullet"/>
      </w:pPr>
      <w:r>
        <w:t>Do not subsidize every order to manufacture growth.</w:t>
      </w:r>
    </w:p>
    <w:p>
      <w:pPr>
        <w:pStyle w:val="ListBullet"/>
      </w:pPr>
      <w:r>
        <w:t>Separate gross merchandise value, gross revenue, contribution margin, and operating profit.</w:t>
      </w:r>
    </w:p>
    <w:p>
      <w:pPr>
        <w:pStyle w:val="ListBullet"/>
      </w:pPr>
      <w:r>
        <w:t>Track unit economics by city, merchant category, order type, and delivery distance.</w:t>
      </w:r>
    </w:p>
    <w:p>
      <w:pPr>
        <w:pStyle w:val="ListBullet"/>
      </w:pPr>
      <w:r>
        <w:t>Require sponsor funding before committing to physical events or significant prizes.</w:t>
      </w:r>
    </w:p>
    <w:p>
      <w:pPr>
        <w:pStyle w:val="ListBullet"/>
      </w:pPr>
      <w:r>
        <w:t>Use platform profit to expand operations only after maintaining a working-capital buffer.</w:t>
      </w:r>
    </w:p>
    <w:p>
      <w:pPr>
        <w:pStyle w:val="Heading1"/>
      </w:pPr>
      <w:r>
        <w:t>Five-Year Target Framework</w:t>
      </w:r>
    </w:p>
    <w:p>
      <w:r>
        <w:t>Use ₱1 billion annual gross revenue as a stretch target, not a forecast or guarantee. Build three formal scenarios after pilot data exists: conservative, expected, and high-growth.</w:t>
      </w:r>
    </w:p>
    <w:p>
      <w:pPr>
        <w:pStyle w:val="ListBullet"/>
      </w:pPr>
      <w:r>
        <w:t>Primary driver: completed monthly orders and average platform take per order.</w:t>
      </w:r>
    </w:p>
    <w:p>
      <w:pPr>
        <w:pStyle w:val="ListBullet"/>
      </w:pPr>
      <w:r>
        <w:t>Secondary drivers: active merchants, subscriptions, campaign sponsorships, and bookings.</w:t>
      </w:r>
    </w:p>
    <w:p>
      <w:pPr>
        <w:pStyle w:val="ListBullet"/>
      </w:pPr>
      <w:r>
        <w:t>Critical constraints: driver density, customer repeat rate, merchant service levels, support cost, fraud, and payment settlement.</w:t>
      </w:r>
    </w:p>
    <w:p>
      <w:pPr>
        <w:pStyle w:val="Heading1"/>
      </w:pPr>
      <w:r>
        <w:t>Core KPI Dashboard</w:t>
      </w:r>
    </w:p>
    <w:p>
      <w:pPr>
        <w:pStyle w:val="ListBullet"/>
      </w:pPr>
      <w:r>
        <w:t>Monthly active consumers, merchants, drivers, talent profiles, and sponsors.</w:t>
      </w:r>
    </w:p>
    <w:p>
      <w:pPr>
        <w:pStyle w:val="ListBullet"/>
      </w:pPr>
      <w:r>
        <w:t>Orders per active customer and 30/90-day repeat rate.</w:t>
      </w:r>
    </w:p>
    <w:p>
      <w:pPr>
        <w:pStyle w:val="ListBullet"/>
      </w:pPr>
      <w:r>
        <w:t>Average basket, commission, delivery fee, driver payout, and contribution margin.</w:t>
      </w:r>
    </w:p>
    <w:p>
      <w:pPr>
        <w:pStyle w:val="ListBullet"/>
      </w:pPr>
      <w:r>
        <w:t>Merchant acceptance rate, preparation time, delivery time, cancellation and refund rate.</w:t>
      </w:r>
    </w:p>
    <w:p>
      <w:pPr>
        <w:pStyle w:val="ListBullet"/>
      </w:pPr>
      <w:r>
        <w:t>Spotlight submissions, approved entries, verified votes, bookings, and sponsor renewal.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3F7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