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A580B" w14:textId="77777777" w:rsidR="00004284" w:rsidRDefault="00004284" w:rsidP="00004284">
      <w:pPr>
        <w:spacing w:before="1200"/>
        <w:jc w:val="center"/>
      </w:pPr>
      <w:r>
        <w:rPr>
          <w:b/>
          <w:bCs/>
          <w:sz w:val="32"/>
          <w:szCs w:val="32"/>
        </w:rPr>
        <w:t>Feasibility Study</w:t>
      </w:r>
    </w:p>
    <w:p w14:paraId="1A727049" w14:textId="77777777" w:rsidR="00004284" w:rsidRDefault="00004284" w:rsidP="00004284"/>
    <w:p w14:paraId="48895D0D" w14:textId="5F1DEF4E" w:rsidR="009105FB" w:rsidRDefault="00000000" w:rsidP="00004284">
      <w:r>
        <w:t>1. Introduction</w:t>
      </w:r>
    </w:p>
    <w:p w14:paraId="58C3A260" w14:textId="4E9258FE" w:rsidR="009105FB" w:rsidRDefault="00000000">
      <w:pPr>
        <w:spacing w:after="120"/>
      </w:pPr>
      <w:r>
        <w:t xml:space="preserve">This feasibility study evaluates whether the </w:t>
      </w:r>
      <w:proofErr w:type="spellStart"/>
      <w:r>
        <w:t>AgriConnect</w:t>
      </w:r>
      <w:proofErr w:type="spellEnd"/>
      <w:r>
        <w:t xml:space="preserve">  platform — a farmer-to-customer grain/produce marketplace augmented with an LLM-driven natural-language search and comparison feature — is viable to build and operate, assessed across technical, economic, operational, legal/regulatory, and schedule dimensions (the TELOS framework).</w:t>
      </w:r>
    </w:p>
    <w:p w14:paraId="643910DE" w14:textId="77777777" w:rsidR="009105FB" w:rsidRDefault="00000000">
      <w:pPr>
        <w:pStyle w:val="Heading1"/>
        <w:spacing w:before="300" w:after="150"/>
      </w:pPr>
      <w:r>
        <w:t>2. Technical Feasibility</w:t>
      </w:r>
    </w:p>
    <w:p w14:paraId="7C49063D" w14:textId="77777777" w:rsidR="009105FB" w:rsidRDefault="00000000">
      <w:pPr>
        <w:pStyle w:val="Heading2"/>
        <w:spacing w:before="240" w:after="120"/>
      </w:pPr>
      <w:r>
        <w:t>2.1 Assessment</w:t>
      </w:r>
    </w:p>
    <w:p w14:paraId="18813A17" w14:textId="77777777" w:rsidR="009105FB" w:rsidRDefault="00000000">
      <w:pPr>
        <w:spacing w:after="120"/>
      </w:pPr>
      <w:r>
        <w:t xml:space="preserve">The system is built on a mature, well-documented, open-source stack: </w:t>
      </w:r>
      <w:proofErr w:type="spellStart"/>
      <w:r>
        <w:t>FastAPI</w:t>
      </w:r>
      <w:proofErr w:type="spellEnd"/>
      <w:r>
        <w:t xml:space="preserve"> for the HTTP/API layer, </w:t>
      </w:r>
      <w:proofErr w:type="spellStart"/>
      <w:r>
        <w:t>SQLAlchemy</w:t>
      </w:r>
      <w:proofErr w:type="spellEnd"/>
      <w:r>
        <w:t xml:space="preserve"> as the ORM, </w:t>
      </w:r>
      <w:proofErr w:type="spellStart"/>
      <w:r>
        <w:t>Pydantic</w:t>
      </w:r>
      <w:proofErr w:type="spellEnd"/>
      <w:r>
        <w:t xml:space="preserve"> for request/response validation, and JWT/</w:t>
      </w:r>
      <w:proofErr w:type="spellStart"/>
      <w:r>
        <w:t>bcrypt</w:t>
      </w:r>
      <w:proofErr w:type="spellEnd"/>
      <w:r>
        <w:t xml:space="preserve"> for authentication — all of which have large communities and long-term support. The AI component integrates with an OpenAI-compatible LLM API behind a single abstraction class, and includes a deterministic rule-based fallback that lets the full request/response pipeline (query → structured filters → retrieval → ranking → summary) run and be tested even without a live LLM subscription.</w:t>
      </w:r>
    </w:p>
    <w:p w14:paraId="309E356F" w14:textId="77777777" w:rsidR="009105FB" w:rsidRDefault="00000000">
      <w:pPr>
        <w:pStyle w:val="Heading2"/>
        <w:spacing w:before="240" w:after="120"/>
      </w:pPr>
      <w:r>
        <w:t>2.2 Risks and Mitigations</w:t>
      </w:r>
    </w:p>
    <w:tbl>
      <w:tblPr>
        <w:tblW w:w="8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340"/>
      </w:tblGrid>
      <w:tr w:rsidR="009105FB" w14:paraId="7BE7B445" w14:textId="77777777">
        <w:tblPrEx>
          <w:tblCellMar>
            <w:top w:w="0" w:type="dxa"/>
            <w:bottom w:w="0" w:type="dxa"/>
          </w:tblCellMar>
        </w:tblPrEx>
        <w:tc>
          <w:tcPr>
            <w:tcW w:w="3200" w:type="dxa"/>
            <w:shd w:val="clear" w:color="auto" w:fill="2F5233"/>
          </w:tcPr>
          <w:p w14:paraId="4074BC31" w14:textId="77777777" w:rsidR="009105FB" w:rsidRDefault="00000000">
            <w:r>
              <w:rPr>
                <w:b/>
                <w:bCs/>
                <w:color w:val="FFFFFF"/>
              </w:rPr>
              <w:t>Risk</w:t>
            </w:r>
          </w:p>
        </w:tc>
        <w:tc>
          <w:tcPr>
            <w:tcW w:w="5340" w:type="dxa"/>
            <w:shd w:val="clear" w:color="auto" w:fill="2F5233"/>
          </w:tcPr>
          <w:p w14:paraId="5964679C" w14:textId="77777777" w:rsidR="009105FB" w:rsidRDefault="00000000">
            <w:r>
              <w:rPr>
                <w:b/>
                <w:bCs/>
                <w:color w:val="FFFFFF"/>
              </w:rPr>
              <w:t>Mitigation</w:t>
            </w:r>
          </w:p>
        </w:tc>
      </w:tr>
      <w:tr w:rsidR="009105FB" w14:paraId="53B766FA" w14:textId="77777777">
        <w:tblPrEx>
          <w:tblCellMar>
            <w:top w:w="0" w:type="dxa"/>
            <w:bottom w:w="0" w:type="dxa"/>
          </w:tblCellMar>
        </w:tblPrEx>
        <w:tc>
          <w:tcPr>
            <w:tcW w:w="3200" w:type="dxa"/>
          </w:tcPr>
          <w:p w14:paraId="02FBAACA" w14:textId="77777777" w:rsidR="009105FB" w:rsidRDefault="00000000">
            <w:r>
              <w:t>LLM API latency or outages affecting search response time</w:t>
            </w:r>
          </w:p>
        </w:tc>
        <w:tc>
          <w:tcPr>
            <w:tcW w:w="5340" w:type="dxa"/>
          </w:tcPr>
          <w:p w14:paraId="0BD3B445" w14:textId="77777777" w:rsidR="009105FB" w:rsidRDefault="00000000">
            <w:r>
              <w:t>Rule-based fallback keeps search functional; consider caching repeated query interpretations</w:t>
            </w:r>
          </w:p>
        </w:tc>
      </w:tr>
      <w:tr w:rsidR="009105FB" w14:paraId="4B3B7315" w14:textId="77777777">
        <w:tblPrEx>
          <w:tblCellMar>
            <w:top w:w="0" w:type="dxa"/>
            <w:bottom w:w="0" w:type="dxa"/>
          </w:tblCellMar>
        </w:tblPrEx>
        <w:tc>
          <w:tcPr>
            <w:tcW w:w="3200" w:type="dxa"/>
          </w:tcPr>
          <w:p w14:paraId="3DF66039" w14:textId="77777777" w:rsidR="009105FB" w:rsidRDefault="00000000">
            <w:r>
              <w:t>SQLite does not scale to concurrent production write load</w:t>
            </w:r>
          </w:p>
        </w:tc>
        <w:tc>
          <w:tcPr>
            <w:tcW w:w="5340" w:type="dxa"/>
          </w:tcPr>
          <w:p w14:paraId="2FD64C57" w14:textId="77777777" w:rsidR="009105FB" w:rsidRDefault="00000000">
            <w:r>
              <w:t>Database URL is a single configuration value; migrate to PostgreSQL before production launch</w:t>
            </w:r>
          </w:p>
        </w:tc>
      </w:tr>
      <w:tr w:rsidR="009105FB" w14:paraId="0CAE1760" w14:textId="77777777">
        <w:tblPrEx>
          <w:tblCellMar>
            <w:top w:w="0" w:type="dxa"/>
            <w:bottom w:w="0" w:type="dxa"/>
          </w:tblCellMar>
        </w:tblPrEx>
        <w:tc>
          <w:tcPr>
            <w:tcW w:w="3200" w:type="dxa"/>
          </w:tcPr>
          <w:p w14:paraId="42BABF6D" w14:textId="77777777" w:rsidR="009105FB" w:rsidRDefault="00000000">
            <w:r>
              <w:t>LLM-generated summaries could reference stale or incorrect data if retrieval logic has bugs</w:t>
            </w:r>
          </w:p>
        </w:tc>
        <w:tc>
          <w:tcPr>
            <w:tcW w:w="5340" w:type="dxa"/>
          </w:tcPr>
          <w:p w14:paraId="114E876D" w14:textId="77777777" w:rsidR="009105FB" w:rsidRDefault="00000000">
            <w:r>
              <w:t>Summary generation is explicitly constrained ('only use the data provided above') and always returned alongside the raw structured results for verification</w:t>
            </w:r>
          </w:p>
        </w:tc>
      </w:tr>
      <w:tr w:rsidR="009105FB" w14:paraId="160940E5" w14:textId="77777777">
        <w:tblPrEx>
          <w:tblCellMar>
            <w:top w:w="0" w:type="dxa"/>
            <w:bottom w:w="0" w:type="dxa"/>
          </w:tblCellMar>
        </w:tblPrEx>
        <w:tc>
          <w:tcPr>
            <w:tcW w:w="3200" w:type="dxa"/>
          </w:tcPr>
          <w:p w14:paraId="0DC368E3" w14:textId="77777777" w:rsidR="009105FB" w:rsidRDefault="00000000">
            <w:r>
              <w:t>Payment status is set to PAID immediately in the reference code rather than via gateway webhook</w:t>
            </w:r>
          </w:p>
        </w:tc>
        <w:tc>
          <w:tcPr>
            <w:tcW w:w="5340" w:type="dxa"/>
          </w:tcPr>
          <w:p w14:paraId="1C9B89FC" w14:textId="77777777" w:rsidR="009105FB" w:rsidRDefault="00000000">
            <w:r>
              <w:t>Must be hardened before production: confirm payment asynchronously via the gateway's signed webhook callback</w:t>
            </w:r>
          </w:p>
        </w:tc>
      </w:tr>
    </w:tbl>
    <w:p w14:paraId="7C0B5B71" w14:textId="77777777" w:rsidR="009105FB" w:rsidRDefault="00000000">
      <w:pPr>
        <w:pStyle w:val="Heading2"/>
        <w:spacing w:before="240" w:after="120"/>
      </w:pPr>
      <w:r>
        <w:t>2.3 Conclusion</w:t>
      </w:r>
    </w:p>
    <w:p w14:paraId="5ABFFE7A" w14:textId="77777777" w:rsidR="009105FB" w:rsidRDefault="00000000">
      <w:pPr>
        <w:spacing w:after="120"/>
      </w:pPr>
      <w:r>
        <w:t>The project is technically feasible. The chosen stack is appropriate for the scale of a student/early-stage marketplace project and has a clear, low-risk upgrade path (database engine, payment confirmation flow) to production scale.</w:t>
      </w:r>
    </w:p>
    <w:p w14:paraId="1292750D" w14:textId="77777777" w:rsidR="009105FB" w:rsidRDefault="00000000">
      <w:pPr>
        <w:pStyle w:val="Heading1"/>
        <w:spacing w:before="300" w:after="150"/>
      </w:pPr>
      <w:r>
        <w:t>3. Economic Feasibility</w:t>
      </w:r>
    </w:p>
    <w:p w14:paraId="17A12853" w14:textId="77777777" w:rsidR="009105FB" w:rsidRDefault="00000000">
      <w:pPr>
        <w:pStyle w:val="Heading2"/>
        <w:spacing w:before="240" w:after="120"/>
      </w:pPr>
      <w:r>
        <w:t>3.1 Development Costs</w:t>
      </w:r>
    </w:p>
    <w:p w14:paraId="1C94BF43" w14:textId="77777777" w:rsidR="009105FB" w:rsidRDefault="00000000">
      <w:pPr>
        <w:pStyle w:val="ListParagraph"/>
        <w:numPr>
          <w:ilvl w:val="0"/>
          <w:numId w:val="1"/>
        </w:numPr>
        <w:spacing w:after="60"/>
      </w:pPr>
      <w:r>
        <w:t>Developer time (design, implementation, testing) — the dominant cost for a project at this scale.</w:t>
      </w:r>
    </w:p>
    <w:p w14:paraId="117A2F48" w14:textId="77777777" w:rsidR="009105FB" w:rsidRDefault="00000000">
      <w:pPr>
        <w:pStyle w:val="ListParagraph"/>
        <w:numPr>
          <w:ilvl w:val="0"/>
          <w:numId w:val="1"/>
        </w:numPr>
        <w:spacing w:after="60"/>
      </w:pPr>
      <w:r>
        <w:t>Cloud hosting for the API and database (modest at pilot scale; a single small virtual machine or managed container service is sufficient initially).</w:t>
      </w:r>
    </w:p>
    <w:p w14:paraId="17748AA4" w14:textId="77777777" w:rsidR="009105FB" w:rsidRDefault="00000000">
      <w:pPr>
        <w:pStyle w:val="ListParagraph"/>
        <w:numPr>
          <w:ilvl w:val="0"/>
          <w:numId w:val="1"/>
        </w:numPr>
        <w:spacing w:after="60"/>
      </w:pPr>
      <w:r>
        <w:t>LLM API usage costs, billed per request/token — the rule-based fallback allows cost-free development and demonstration, with LLM costs incurred only once real usage begins.</w:t>
      </w:r>
    </w:p>
    <w:p w14:paraId="6CF772DE" w14:textId="77777777" w:rsidR="009105FB" w:rsidRDefault="00000000">
      <w:pPr>
        <w:pStyle w:val="ListParagraph"/>
        <w:numPr>
          <w:ilvl w:val="0"/>
          <w:numId w:val="1"/>
        </w:numPr>
        <w:spacing w:after="60"/>
      </w:pPr>
      <w:r>
        <w:lastRenderedPageBreak/>
        <w:t>Payment gateway integration fees, typically a small percentage per transaction, usually passed through to the platform commission rather than paid upfront.</w:t>
      </w:r>
    </w:p>
    <w:p w14:paraId="6BFE9ED0" w14:textId="77777777" w:rsidR="009105FB" w:rsidRDefault="00000000">
      <w:pPr>
        <w:pStyle w:val="Heading2"/>
        <w:spacing w:before="240" w:after="120"/>
      </w:pPr>
      <w:r>
        <w:t>3.2 Revenue Model</w:t>
      </w:r>
    </w:p>
    <w:p w14:paraId="221F8E9F" w14:textId="77777777" w:rsidR="009105FB" w:rsidRDefault="00000000">
      <w:pPr>
        <w:spacing w:after="120"/>
      </w:pPr>
      <w:r>
        <w:t xml:space="preserve">The platform's settings already define a configurable </w:t>
      </w:r>
      <w:proofErr w:type="spellStart"/>
      <w:r>
        <w:t>platform_commission_percent</w:t>
      </w:r>
      <w:proofErr w:type="spellEnd"/>
      <w:r>
        <w:t xml:space="preserve"> (illustrated at 8%), deducted from the order total before farmer payout. This is a standard, low-friction marketplace </w:t>
      </w:r>
      <w:proofErr w:type="spellStart"/>
      <w:r>
        <w:t>monetisation</w:t>
      </w:r>
      <w:proofErr w:type="spellEnd"/>
      <w:r>
        <w:t xml:space="preserve"> model requiring no separate billing system.</w:t>
      </w:r>
    </w:p>
    <w:p w14:paraId="2FAF2362" w14:textId="77777777" w:rsidR="009105FB" w:rsidRDefault="00000000">
      <w:pPr>
        <w:pStyle w:val="Heading2"/>
        <w:spacing w:before="240" w:after="120"/>
      </w:pPr>
      <w:r>
        <w:t>3.3 Cost-Benefit Conclusion</w:t>
      </w:r>
    </w:p>
    <w:p w14:paraId="6CED343A" w14:textId="77777777" w:rsidR="009105FB" w:rsidRDefault="00000000">
      <w:pPr>
        <w:spacing w:after="120"/>
      </w:pPr>
      <w:r>
        <w:t>Given low initial infrastructure costs, an optional (fallback-covered) AI expense, and a built-in commission-based revenue model, the platform is economically feasible to build and pilot at small scale before committing to larger LLM usage budgets or paid infrastructure tiers.</w:t>
      </w:r>
    </w:p>
    <w:p w14:paraId="62F975CD" w14:textId="77777777" w:rsidR="009105FB" w:rsidRDefault="00000000">
      <w:pPr>
        <w:pStyle w:val="Heading1"/>
        <w:spacing w:before="300" w:after="150"/>
      </w:pPr>
      <w:r>
        <w:t>4. Operational Feasibility</w:t>
      </w:r>
    </w:p>
    <w:p w14:paraId="1729267F" w14:textId="77777777" w:rsidR="009105FB" w:rsidRDefault="00000000">
      <w:pPr>
        <w:pStyle w:val="Heading2"/>
        <w:spacing w:before="240" w:after="120"/>
      </w:pPr>
      <w:r>
        <w:t>4.1 Fit with User Needs</w:t>
      </w:r>
    </w:p>
    <w:p w14:paraId="20B694A1" w14:textId="77777777" w:rsidR="009105FB" w:rsidRDefault="00000000">
      <w:pPr>
        <w:spacing w:after="120"/>
      </w:pPr>
      <w:r>
        <w:t xml:space="preserve">The core workflow — farmers list produce, customers browse/search and buy, orders are fulfilled by delivery or pickup, and disputes are resolved through a bounded refund window — matches how informal farm-produce trade already happens, </w:t>
      </w:r>
      <w:proofErr w:type="spellStart"/>
      <w:r>
        <w:t>digitised</w:t>
      </w:r>
      <w:proofErr w:type="spellEnd"/>
      <w:r>
        <w:t xml:space="preserve"> rather than reinvented. The AI search specifically addresses a real friction point: customers describing what they want in natural language rather than navigating rigid category filters.</w:t>
      </w:r>
    </w:p>
    <w:p w14:paraId="1770AAB3" w14:textId="77777777" w:rsidR="009105FB" w:rsidRDefault="00000000">
      <w:pPr>
        <w:pStyle w:val="Heading2"/>
        <w:spacing w:before="240" w:after="120"/>
      </w:pPr>
      <w:r>
        <w:t xml:space="preserve">4.2 </w:t>
      </w:r>
      <w:proofErr w:type="spellStart"/>
      <w:r>
        <w:t>Organisational</w:t>
      </w:r>
      <w:proofErr w:type="spellEnd"/>
      <w:r>
        <w:t xml:space="preserve"> Readiness</w:t>
      </w:r>
    </w:p>
    <w:p w14:paraId="58515012" w14:textId="77777777" w:rsidR="009105FB" w:rsidRDefault="00000000">
      <w:pPr>
        <w:pStyle w:val="ListParagraph"/>
        <w:numPr>
          <w:ilvl w:val="0"/>
          <w:numId w:val="1"/>
        </w:numPr>
        <w:spacing w:after="60"/>
      </w:pPr>
      <w:r>
        <w:t>Farmers need only basic smartphone literacy to list produce and respond to orders; the data model keeps required fields minimal (name, category, unit, price, stock).</w:t>
      </w:r>
    </w:p>
    <w:p w14:paraId="4279A179" w14:textId="77777777" w:rsidR="009105FB" w:rsidRDefault="00000000">
      <w:pPr>
        <w:pStyle w:val="ListParagraph"/>
        <w:numPr>
          <w:ilvl w:val="0"/>
          <w:numId w:val="1"/>
        </w:numPr>
        <w:spacing w:after="60"/>
      </w:pPr>
      <w:r>
        <w:t xml:space="preserve">Customer support/admin staff are needed to review and approve/reject refund requests — a lightweight, asynchronous responsibility rather than a full-time call </w:t>
      </w:r>
      <w:proofErr w:type="spellStart"/>
      <w:r>
        <w:t>centre</w:t>
      </w:r>
      <w:proofErr w:type="spellEnd"/>
      <w:r>
        <w:t xml:space="preserve"> at pilot scale.</w:t>
      </w:r>
    </w:p>
    <w:p w14:paraId="4F347E1E" w14:textId="77777777" w:rsidR="009105FB" w:rsidRDefault="00000000">
      <w:pPr>
        <w:pStyle w:val="ListParagraph"/>
        <w:numPr>
          <w:ilvl w:val="0"/>
          <w:numId w:val="1"/>
        </w:numPr>
        <w:spacing w:after="60"/>
      </w:pPr>
      <w:r>
        <w:t xml:space="preserve">No </w:t>
      </w:r>
      <w:proofErr w:type="spellStart"/>
      <w:r>
        <w:t>specialised</w:t>
      </w:r>
      <w:proofErr w:type="spellEnd"/>
      <w:r>
        <w:t xml:space="preserve"> AI expertise is required to operate the system day-to-day, since the LLM integration is encapsulated behind a single service class with sane fallback </w:t>
      </w:r>
      <w:proofErr w:type="spellStart"/>
      <w:r>
        <w:t>behaviour</w:t>
      </w:r>
      <w:proofErr w:type="spellEnd"/>
      <w:r>
        <w:t>.</w:t>
      </w:r>
    </w:p>
    <w:p w14:paraId="2BD7129A" w14:textId="77777777" w:rsidR="009105FB" w:rsidRDefault="00000000">
      <w:pPr>
        <w:pStyle w:val="Heading2"/>
        <w:spacing w:before="240" w:after="120"/>
      </w:pPr>
      <w:r>
        <w:t>4.3 Conclusion</w:t>
      </w:r>
    </w:p>
    <w:p w14:paraId="74F15F48" w14:textId="77777777" w:rsidR="009105FB" w:rsidRDefault="00000000">
      <w:pPr>
        <w:spacing w:after="120"/>
      </w:pPr>
      <w:r>
        <w:t>The platform is operationally feasible for a pilot deployment with a small farmer cohort and a lightweight admin/support process for refunds.</w:t>
      </w:r>
    </w:p>
    <w:p w14:paraId="6AE135FB" w14:textId="77777777" w:rsidR="009105FB" w:rsidRDefault="00000000">
      <w:pPr>
        <w:pStyle w:val="Heading1"/>
        <w:spacing w:before="300" w:after="150"/>
      </w:pPr>
      <w:r>
        <w:t>5. Legal and Regulatory Feasibility</w:t>
      </w:r>
    </w:p>
    <w:p w14:paraId="5CE0BC84" w14:textId="77777777" w:rsidR="009105FB" w:rsidRDefault="00000000">
      <w:pPr>
        <w:pStyle w:val="Heading2"/>
        <w:spacing w:before="240" w:after="120"/>
      </w:pPr>
      <w:r>
        <w:t>5.1 Data Protection</w:t>
      </w:r>
    </w:p>
    <w:p w14:paraId="34AD082B" w14:textId="77777777" w:rsidR="009105FB" w:rsidRDefault="00000000">
      <w:pPr>
        <w:spacing w:after="120"/>
      </w:pPr>
      <w:r>
        <w:t>The system collects personal data (names, contact details, farm location, order history) and must implement a privacy policy, lawful basis for processing, and data-subject rights consistent with applicable law — for Nigerian deployment, the Nigeria Data Protection Act (NDPA) 2023, and the GDPR for any EU-resident users. A compliant privacy policy, terms and conditions, and return/refund policy are required deliverables alongside the technical build (see the companion project documents).</w:t>
      </w:r>
    </w:p>
    <w:p w14:paraId="6D1F28E5" w14:textId="77777777" w:rsidR="009105FB" w:rsidRDefault="00000000">
      <w:pPr>
        <w:pStyle w:val="Heading2"/>
        <w:spacing w:before="240" w:after="120"/>
      </w:pPr>
      <w:r>
        <w:t>5.2 Payments and Consumer Protection</w:t>
      </w:r>
    </w:p>
    <w:p w14:paraId="5F70B9C6" w14:textId="77777777" w:rsidR="009105FB" w:rsidRDefault="00000000">
      <w:pPr>
        <w:spacing w:after="120"/>
      </w:pPr>
      <w:r>
        <w:t>Handling customer payments requires either direct PCI-DSS compliance or, preferably, delegation to a licensed, PCI-DSS-compliant payment gateway so the platform itself never stores raw card data — consistent with the reference design's intent. Consumer-protection expectations (clear pricing, a defined refund window, dispute resolution) must be documented and enforced, which the refund-request workflow already supports structurally.</w:t>
      </w:r>
    </w:p>
    <w:p w14:paraId="0293C005" w14:textId="77777777" w:rsidR="009105FB" w:rsidRDefault="00000000">
      <w:pPr>
        <w:pStyle w:val="Heading2"/>
        <w:spacing w:before="240" w:after="120"/>
      </w:pPr>
      <w:r>
        <w:lastRenderedPageBreak/>
        <w:t>5.3 Conclusion</w:t>
      </w:r>
    </w:p>
    <w:p w14:paraId="793A202F" w14:textId="77777777" w:rsidR="009105FB" w:rsidRDefault="00000000">
      <w:pPr>
        <w:spacing w:after="120"/>
      </w:pPr>
      <w:r>
        <w:t>The platform is legally feasible provided the accompanying legal documents (terms and conditions, privacy policy, return/refund policy) are published and kept current, and payment processing is delegated to a compliant gateway rather than handled in-house.</w:t>
      </w:r>
    </w:p>
    <w:p w14:paraId="45F196E6" w14:textId="77777777" w:rsidR="009105FB" w:rsidRDefault="00000000">
      <w:pPr>
        <w:pStyle w:val="Heading1"/>
        <w:spacing w:before="300" w:after="150"/>
      </w:pPr>
      <w:r>
        <w:t>6. Schedule Feasibility</w:t>
      </w:r>
    </w:p>
    <w:p w14:paraId="6036CEA5" w14:textId="77777777" w:rsidR="009105FB" w:rsidRDefault="00000000">
      <w:pPr>
        <w:pStyle w:val="Heading2"/>
        <w:spacing w:before="240" w:after="120"/>
      </w:pPr>
      <w:r>
        <w:t>6.1 Indicative Timeline</w:t>
      </w:r>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5140"/>
      </w:tblGrid>
      <w:tr w:rsidR="009105FB" w14:paraId="0F5CD978" w14:textId="77777777">
        <w:tblPrEx>
          <w:tblCellMar>
            <w:top w:w="0" w:type="dxa"/>
            <w:bottom w:w="0" w:type="dxa"/>
          </w:tblCellMar>
        </w:tblPrEx>
        <w:tc>
          <w:tcPr>
            <w:tcW w:w="2000" w:type="dxa"/>
            <w:shd w:val="clear" w:color="auto" w:fill="2F5233"/>
          </w:tcPr>
          <w:p w14:paraId="31A268A8" w14:textId="77777777" w:rsidR="009105FB" w:rsidRDefault="00000000">
            <w:r>
              <w:rPr>
                <w:b/>
                <w:bCs/>
                <w:color w:val="FFFFFF"/>
              </w:rPr>
              <w:t>Phase</w:t>
            </w:r>
          </w:p>
        </w:tc>
        <w:tc>
          <w:tcPr>
            <w:tcW w:w="2200" w:type="dxa"/>
            <w:shd w:val="clear" w:color="auto" w:fill="2F5233"/>
          </w:tcPr>
          <w:p w14:paraId="3E95D145" w14:textId="77777777" w:rsidR="009105FB" w:rsidRDefault="00000000">
            <w:r>
              <w:rPr>
                <w:b/>
                <w:bCs/>
                <w:color w:val="FFFFFF"/>
              </w:rPr>
              <w:t>Indicative Duration</w:t>
            </w:r>
          </w:p>
        </w:tc>
        <w:tc>
          <w:tcPr>
            <w:tcW w:w="5140" w:type="dxa"/>
            <w:shd w:val="clear" w:color="auto" w:fill="2F5233"/>
          </w:tcPr>
          <w:p w14:paraId="148A0E8C" w14:textId="77777777" w:rsidR="009105FB" w:rsidRDefault="00000000">
            <w:r>
              <w:rPr>
                <w:b/>
                <w:bCs/>
                <w:color w:val="FFFFFF"/>
              </w:rPr>
              <w:t>Key Deliverables</w:t>
            </w:r>
          </w:p>
        </w:tc>
      </w:tr>
      <w:tr w:rsidR="009105FB" w14:paraId="10FF50D7" w14:textId="77777777">
        <w:tblPrEx>
          <w:tblCellMar>
            <w:top w:w="0" w:type="dxa"/>
            <w:bottom w:w="0" w:type="dxa"/>
          </w:tblCellMar>
        </w:tblPrEx>
        <w:tc>
          <w:tcPr>
            <w:tcW w:w="2000" w:type="dxa"/>
          </w:tcPr>
          <w:p w14:paraId="780F8471" w14:textId="77777777" w:rsidR="009105FB" w:rsidRDefault="00000000">
            <w:r>
              <w:t>Requirements &amp; Design</w:t>
            </w:r>
          </w:p>
        </w:tc>
        <w:tc>
          <w:tcPr>
            <w:tcW w:w="2200" w:type="dxa"/>
          </w:tcPr>
          <w:p w14:paraId="0658D791" w14:textId="77777777" w:rsidR="009105FB" w:rsidRDefault="00000000">
            <w:r>
              <w:t>1–2 weeks</w:t>
            </w:r>
          </w:p>
        </w:tc>
        <w:tc>
          <w:tcPr>
            <w:tcW w:w="5140" w:type="dxa"/>
          </w:tcPr>
          <w:p w14:paraId="19529A8A" w14:textId="77777777" w:rsidR="009105FB" w:rsidRDefault="00000000">
            <w:r>
              <w:t>SRS, data model, API contract</w:t>
            </w:r>
          </w:p>
        </w:tc>
      </w:tr>
      <w:tr w:rsidR="009105FB" w14:paraId="27AC3468" w14:textId="77777777">
        <w:tblPrEx>
          <w:tblCellMar>
            <w:top w:w="0" w:type="dxa"/>
            <w:bottom w:w="0" w:type="dxa"/>
          </w:tblCellMar>
        </w:tblPrEx>
        <w:tc>
          <w:tcPr>
            <w:tcW w:w="2000" w:type="dxa"/>
          </w:tcPr>
          <w:p w14:paraId="2DCCFE21" w14:textId="77777777" w:rsidR="009105FB" w:rsidRDefault="00000000">
            <w:r>
              <w:t>Core Marketplace Build</w:t>
            </w:r>
          </w:p>
        </w:tc>
        <w:tc>
          <w:tcPr>
            <w:tcW w:w="2200" w:type="dxa"/>
          </w:tcPr>
          <w:p w14:paraId="2C3E1068" w14:textId="77777777" w:rsidR="009105FB" w:rsidRDefault="00000000">
            <w:r>
              <w:t>3–4 weeks</w:t>
            </w:r>
          </w:p>
        </w:tc>
        <w:tc>
          <w:tcPr>
            <w:tcW w:w="5140" w:type="dxa"/>
          </w:tcPr>
          <w:p w14:paraId="64082625" w14:textId="77777777" w:rsidR="009105FB" w:rsidRDefault="00000000">
            <w:r>
              <w:t>Auth, listings, orders, payments, refunds, reviews</w:t>
            </w:r>
          </w:p>
        </w:tc>
      </w:tr>
      <w:tr w:rsidR="009105FB" w14:paraId="7CF8C303" w14:textId="77777777">
        <w:tblPrEx>
          <w:tblCellMar>
            <w:top w:w="0" w:type="dxa"/>
            <w:bottom w:w="0" w:type="dxa"/>
          </w:tblCellMar>
        </w:tblPrEx>
        <w:tc>
          <w:tcPr>
            <w:tcW w:w="2000" w:type="dxa"/>
          </w:tcPr>
          <w:p w14:paraId="146340E4" w14:textId="77777777" w:rsidR="009105FB" w:rsidRDefault="00000000">
            <w:r>
              <w:t>AI Search Pipeline</w:t>
            </w:r>
          </w:p>
        </w:tc>
        <w:tc>
          <w:tcPr>
            <w:tcW w:w="2200" w:type="dxa"/>
          </w:tcPr>
          <w:p w14:paraId="3EBD2CC4" w14:textId="77777777" w:rsidR="009105FB" w:rsidRDefault="00000000">
            <w:r>
              <w:t>1–2 weeks</w:t>
            </w:r>
          </w:p>
        </w:tc>
        <w:tc>
          <w:tcPr>
            <w:tcW w:w="5140" w:type="dxa"/>
          </w:tcPr>
          <w:p w14:paraId="7A6B2F0B" w14:textId="77777777" w:rsidR="009105FB" w:rsidRDefault="00000000">
            <w:r>
              <w:t>Query interpretation, retrieval, ranking, summary generation, fallback mode</w:t>
            </w:r>
          </w:p>
        </w:tc>
      </w:tr>
      <w:tr w:rsidR="009105FB" w14:paraId="1AF725D8" w14:textId="77777777">
        <w:tblPrEx>
          <w:tblCellMar>
            <w:top w:w="0" w:type="dxa"/>
            <w:bottom w:w="0" w:type="dxa"/>
          </w:tblCellMar>
        </w:tblPrEx>
        <w:tc>
          <w:tcPr>
            <w:tcW w:w="2000" w:type="dxa"/>
          </w:tcPr>
          <w:p w14:paraId="6E5E3A68" w14:textId="77777777" w:rsidR="009105FB" w:rsidRDefault="00000000">
            <w:r>
              <w:t>Testing &amp; Hardening</w:t>
            </w:r>
          </w:p>
        </w:tc>
        <w:tc>
          <w:tcPr>
            <w:tcW w:w="2200" w:type="dxa"/>
          </w:tcPr>
          <w:p w14:paraId="2FF38C69" w14:textId="77777777" w:rsidR="009105FB" w:rsidRDefault="00000000">
            <w:r>
              <w:t>1–2 weeks</w:t>
            </w:r>
          </w:p>
        </w:tc>
        <w:tc>
          <w:tcPr>
            <w:tcW w:w="5140" w:type="dxa"/>
          </w:tcPr>
          <w:p w14:paraId="2D5E6FE3" w14:textId="77777777" w:rsidR="009105FB" w:rsidRDefault="00000000">
            <w:r>
              <w:t>Transactional integrity checks, security review, production DB migration</w:t>
            </w:r>
          </w:p>
        </w:tc>
      </w:tr>
      <w:tr w:rsidR="009105FB" w14:paraId="439939EC" w14:textId="77777777">
        <w:tblPrEx>
          <w:tblCellMar>
            <w:top w:w="0" w:type="dxa"/>
            <w:bottom w:w="0" w:type="dxa"/>
          </w:tblCellMar>
        </w:tblPrEx>
        <w:tc>
          <w:tcPr>
            <w:tcW w:w="2000" w:type="dxa"/>
          </w:tcPr>
          <w:p w14:paraId="167382CC" w14:textId="77777777" w:rsidR="009105FB" w:rsidRDefault="00000000">
            <w:r>
              <w:t>Pilot Launch</w:t>
            </w:r>
          </w:p>
        </w:tc>
        <w:tc>
          <w:tcPr>
            <w:tcW w:w="2200" w:type="dxa"/>
          </w:tcPr>
          <w:p w14:paraId="686D8FD8" w14:textId="77777777" w:rsidR="009105FB" w:rsidRDefault="00000000">
            <w:r>
              <w:t>1 week</w:t>
            </w:r>
          </w:p>
        </w:tc>
        <w:tc>
          <w:tcPr>
            <w:tcW w:w="5140" w:type="dxa"/>
          </w:tcPr>
          <w:p w14:paraId="4E34331A" w14:textId="77777777" w:rsidR="009105FB" w:rsidRDefault="00000000">
            <w:r>
              <w:t>Limited farmer/customer cohort, support process for refunds</w:t>
            </w:r>
          </w:p>
        </w:tc>
      </w:tr>
    </w:tbl>
    <w:p w14:paraId="684FE587" w14:textId="77777777" w:rsidR="009105FB" w:rsidRDefault="00000000">
      <w:pPr>
        <w:pStyle w:val="Heading2"/>
        <w:spacing w:before="240" w:after="120"/>
      </w:pPr>
      <w:r>
        <w:t>6.2 Conclusion</w:t>
      </w:r>
    </w:p>
    <w:p w14:paraId="5C25613B" w14:textId="77777777" w:rsidR="009105FB" w:rsidRDefault="00000000">
      <w:pPr>
        <w:spacing w:after="120"/>
      </w:pPr>
      <w:r>
        <w:t>A functional pilot is achievable within roughly 6–10 weeks of focused development, given the stack's maturity and the fact that the core domain logic (requirements, data model, policies) has already been specified.</w:t>
      </w:r>
    </w:p>
    <w:p w14:paraId="26948307" w14:textId="52698E7C" w:rsidR="009105FB" w:rsidRDefault="009105FB">
      <w:pPr>
        <w:spacing w:before="400"/>
      </w:pPr>
    </w:p>
    <w:sectPr w:rsidR="009105F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F30838"/>
    <w:multiLevelType w:val="hybridMultilevel"/>
    <w:tmpl w:val="87206560"/>
    <w:lvl w:ilvl="0" w:tplc="7262862C">
      <w:start w:val="1"/>
      <w:numFmt w:val="bullet"/>
      <w:lvlText w:val="●"/>
      <w:lvlJc w:val="left"/>
      <w:pPr>
        <w:ind w:left="720" w:hanging="360"/>
      </w:pPr>
    </w:lvl>
    <w:lvl w:ilvl="1" w:tplc="A57E3C0C">
      <w:start w:val="1"/>
      <w:numFmt w:val="bullet"/>
      <w:lvlText w:val="○"/>
      <w:lvlJc w:val="left"/>
      <w:pPr>
        <w:ind w:left="1440" w:hanging="360"/>
      </w:pPr>
    </w:lvl>
    <w:lvl w:ilvl="2" w:tplc="EFF29710">
      <w:start w:val="1"/>
      <w:numFmt w:val="bullet"/>
      <w:lvlText w:val="■"/>
      <w:lvlJc w:val="left"/>
      <w:pPr>
        <w:ind w:left="2160" w:hanging="360"/>
      </w:pPr>
    </w:lvl>
    <w:lvl w:ilvl="3" w:tplc="B6AC7FE2">
      <w:start w:val="1"/>
      <w:numFmt w:val="bullet"/>
      <w:lvlText w:val="●"/>
      <w:lvlJc w:val="left"/>
      <w:pPr>
        <w:ind w:left="2880" w:hanging="360"/>
      </w:pPr>
    </w:lvl>
    <w:lvl w:ilvl="4" w:tplc="A9386C34">
      <w:start w:val="1"/>
      <w:numFmt w:val="bullet"/>
      <w:lvlText w:val="○"/>
      <w:lvlJc w:val="left"/>
      <w:pPr>
        <w:ind w:left="3600" w:hanging="360"/>
      </w:pPr>
    </w:lvl>
    <w:lvl w:ilvl="5" w:tplc="75CEEC8A">
      <w:start w:val="1"/>
      <w:numFmt w:val="bullet"/>
      <w:lvlText w:val="■"/>
      <w:lvlJc w:val="left"/>
      <w:pPr>
        <w:ind w:left="4320" w:hanging="360"/>
      </w:pPr>
    </w:lvl>
    <w:lvl w:ilvl="6" w:tplc="24B24B26">
      <w:start w:val="1"/>
      <w:numFmt w:val="bullet"/>
      <w:lvlText w:val="●"/>
      <w:lvlJc w:val="left"/>
      <w:pPr>
        <w:ind w:left="5040" w:hanging="360"/>
      </w:pPr>
    </w:lvl>
    <w:lvl w:ilvl="7" w:tplc="5DB42AB8">
      <w:start w:val="1"/>
      <w:numFmt w:val="bullet"/>
      <w:lvlText w:val="●"/>
      <w:lvlJc w:val="left"/>
      <w:pPr>
        <w:ind w:left="5760" w:hanging="360"/>
      </w:pPr>
    </w:lvl>
    <w:lvl w:ilvl="8" w:tplc="42B44AD6">
      <w:start w:val="1"/>
      <w:numFmt w:val="bullet"/>
      <w:lvlText w:val="●"/>
      <w:lvlJc w:val="left"/>
      <w:pPr>
        <w:ind w:left="6480" w:hanging="360"/>
      </w:pPr>
    </w:lvl>
  </w:abstractNum>
  <w:num w:numId="1" w16cid:durableId="3902019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05FB"/>
    <w:rsid w:val="00004284"/>
    <w:rsid w:val="00016886"/>
    <w:rsid w:val="000F3B53"/>
    <w:rsid w:val="009105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E7075"/>
  <w15:docId w15:val="{80869017-969F-4451-9F22-DEBC46A6A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968</Words>
  <Characters>5519</Characters>
  <Application>Microsoft Office Word</Application>
  <DocSecurity>0</DocSecurity>
  <Lines>45</Lines>
  <Paragraphs>12</Paragraphs>
  <ScaleCrop>false</ScaleCrop>
  <Company/>
  <LinksUpToDate>false</LinksUpToDate>
  <CharactersWithSpaces>6475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patience henry</cp:lastModifiedBy>
  <cp:revision>4</cp:revision>
  <dcterms:created xsi:type="dcterms:W3CDTF">2026-10-01T08:55:00Z</dcterms:created>
  <dcterms:modified xsi:type="dcterms:W3CDTF">2026-10-01T11:54:00Z</dcterms:modified>
</cp:coreProperties>
</file>