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pStyle w:val="Heading1"/>
      </w:pPr>
      <w:r>
        <w:t>Informe semestral DocuVoz</w:t>
      </w:r>
    </w:p>
    <w:p>
      <w:pPr>
        <w:pStyle w:val="Heading2"/>
      </w:pPr>
      <w:r>
        <w:t>Resumen ejecutivo</w:t>
      </w:r>
    </w:p>
    <w:p>
      <w:r>
        <w:t>Durante el primer semestre el proyecto completó las entregas previstas.</w:t>
      </w:r>
    </w:p>
    <w:p>
      <w:pPr>
        <w:pStyle w:val="Heading2"/>
      </w:pPr>
      <w:r>
        <w:t>Hitos del trimestre</w:t>
      </w:r>
    </w:p>
    <w:p>
      <w:pPr>
        <w:numPr>
          <w:ilvl w:val="0"/>
          <w:numId w:val="201"/>
        </w:numPr>
      </w:pPr>
      <w:r>
        <w:t>Reproductor con audio continuo</w:t>
      </w:r>
    </w:p>
    <w:p>
      <w:pPr>
        <w:numPr>
          <w:ilvl w:val="0"/>
          <w:numId w:val="201"/>
        </w:numPr>
      </w:pPr>
      <w:r>
        <w:t>Exportación a MP3</w:t>
      </w:r>
    </w:p>
    <w:p>
      <w:pPr>
        <w:numPr>
          <w:ilvl w:val="1"/>
          <w:numId w:val="201"/>
        </w:numPr>
      </w:pPr>
      <w:r>
        <w:t>compatible con lectores de pantalla</w:t>
      </w:r>
    </w:p>
    <w:p>
      <w:pPr>
        <w:pStyle w:val="Heading2"/>
      </w:pPr>
      <w:r>
        <w:t>Pasos siguientes</w:t>
      </w:r>
    </w:p>
    <w:p>
      <w:pPr>
        <w:numPr>
          <w:ilvl w:val="0"/>
          <w:numId w:val="101"/>
        </w:numPr>
      </w:pPr>
      <w:r>
        <w:t>Probar con diez lectores</w:t>
      </w:r>
    </w:p>
    <w:p>
      <w:pPr>
        <w:numPr>
          <w:ilvl w:val="0"/>
          <w:numId w:val="101"/>
        </w:numPr>
      </w:pPr>
      <w:r>
        <w:t>Publicar la guía de uso</w:t>
      </w:r>
    </w:p>
    <w:p>
      <w:pPr>
        <w:pStyle w:val="Heading2"/>
      </w:pPr>
      <w:r>
        <w:t>Cifras clave</w:t>
      </w:r>
    </w:p>
    <w:tbl>
      <w:tblPr>
        <w:tblStyle w:val="TableGrid"/>
        <w:tblW w:w="0" w:type="auto"/>
        <w:tblLook w:firstRow="1" w:lastRow="0" w:firstColumn="0" w:lastColumn="0" w:noHBand="0" w:noVBand="1"/>
      </w:tblPr>
      <w:tr>
        <w:trPr>
          <w:tblHeader/>
        </w:trPr>
        <w:tc>
          <w:p>
            <w:r>
              <w:t>Indicador</w:t>
            </w:r>
          </w:p>
        </w:tc>
        <w:tc>
          <w:p>
            <w:r>
              <w:t>Valor</w:t>
            </w:r>
          </w:p>
        </w:tc>
      </w:tr>
      <w:tr>
        <w:tc>
          <w:p>
            <w:r>
              <w:t>Documentos</w:t>
            </w:r>
          </w:p>
        </w:tc>
        <w:tc>
          <w:p>
            <w:r>
              <w:t>4.210</w:t>
            </w:r>
          </w:p>
        </w:tc>
      </w:tr>
    </w:tbl>
    <w:p>
      <w:r>
        <w:t>Más detalles en el portal </w:t>
      </w:r>
      <w:hyperlink r:id="rIdExt2">
        <w:r>
          <w:rPr>
            <w:u w:val="single"/>
          </w:rPr>
          <w:t>informes DocuVoz</w:t>
        </w:r>
      </w:hyperlink>
      <w:r>
        <w:t> (enlace externo).</w:t>
      </w:r>
    </w:p>
    <w:p>
      <w:r>
        <w:t>La medición del alcance¹</w:t>
      </w:r>
      <w:r>
        <w:rPr>
          <w:vertAlign w:val="superscript"/>
        </w:rPr>
        <w:footnoteReference w:id="2"/>
      </w:r>
    </w:p>
    <w:p>
      <w:r>
        <w:drawing>
          <wp:inline distT="0" distB="0" distL="0" distR="0">
            <wp:extent cx="914400" cy="914400"/>
            <wp:docPr id="1" name="Imagen 1" descr="Gráfico de crecimiento trimestr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 de crecimiento trimestral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mc:AlternateContent>
          <mc:Choice Requires="wps">
            <w:drawing>
              <wp:inline distT="0" distB="0" distL="0" distR="0">
                <wp:extent cx="914400" cy="457200"/>
                <wp:docPr id="2" name="Cuadro 1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txbx>
                        <w:txbxContent>
                          <w:p>
                            <w:r>
                              <w:t>Recordatorio: revisar el anexo estadístico.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>
              <w:r>
                <w:t>Recordatorio: revisar el anexo estadístico.</w:t>
              </w:r>
            </w:p>
          </mc:Fallback>
        </mc:AlternateConten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Medición interna realizada en marzo.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abstractNum w:abstractNumId="1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201">
    <w:abstractNumId w:val="1"/>
  </w:num>
  <w:num w:numId="101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style w:type="paragraph" w:styleId="Heading1">
    <w:name w:val="heading 1"/>
    <w:qFormat/>
  </w:style>
  <w:style w:type="paragraph" w:styleId="Heading2">
    <w:name w:val="heading 2"/>
    <w:qFormat/>
  </w:style>
  <w:style w:type="character" w:styleId="Hyperlink">
    <w:name w:val="Hyperlink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  <Relationship Id="rIdSty" Type="http://schemas.openxmlformats.org/officeDocument/2006/relationships/styles" Target="styles.xml"/>
  <Relationship Id="rIdExt2" Type="http://schemas.openxmlformats.org/officeDocument/2006/relationships/hyperlink" Target="https://example.invalid/informes" TargetMode="External"/>
  <Relationship Id="rIdImg" Type="http://schemas.openxmlformats.org/officeDocument/2006/relationships/image" Target="media/image1.png"/>
  <Relationship Id="rIdFnt" Type="http://schemas.openxmlformats.org/officeDocument/2006/relationships/footnotes" Target="footnotes.xml"/>
</Relationships>
</file>