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A.U.R.A. — Air-Gapped Unified Responsive Agent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773"/>
          <w:sz w:val="24"/>
          <w:szCs w:val="24"/>
        </w:rPr>
        <w:t xml:space="preserve">Software &amp; System Architecture Documentation</w:t>
      </w:r>
    </w:p>
    <w:p>
      <w:pPr>
        <w:spacing w:after="200"/>
      </w:pPr>
      <w:r>
        <w:rPr>
          <w:rFonts w:ascii="Calibri" w:cs="Calibri" w:eastAsia="Calibri" w:hAnsi="Calibri"/>
          <w:color w:val="5B6773"/>
          <w:sz w:val="19"/>
          <w:szCs w:val="19"/>
        </w:rPr>
        <w:t xml:space="preserve">Muhammad Hunzala Hasan (25435)  ·  Muhammad Taha Jabbar (25421)  ·  Hafsa Ayub (25588)   |   Department of Computer Science, Iqra University   |   Final Year Project, Batch Fall-2026</w:t>
      </w:r>
    </w:p>
    <w:p>
      <w:pPr>
        <w:keepNext/>
        <w:pBdr>
          <w:bottom w:val="single" w:color="1F3B57" w:sz="6" w:space="3"/>
        </w:pBdr>
        <w:spacing w:after="90" w:before="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1. System Overview</w:t>
      </w:r>
    </w:p>
    <w:p>
      <w:pPr>
        <w:spacing w:after="110" w:line="252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A.U.R.A. is a locally-run, multi-agent software system that converts natural-language commands into controlled operating-system actions — opening files, managing folders, sending messages, and more — without any cloud dependency. All reasoning, memory, and task execution happen on the user's own device; a Raspberry Pi companion node adds hands-free voice input and hardware-enforced biometric approval for high-risk actions. The project spans four domains: Artificial Intelligence (local multi-agent reasoning), Computer Automation (OS/application interaction), Cybersecurity (privacy, access control, agent safety), and Edge Computing (offline, hardware-assisted execution).</w:t>
      </w:r>
    </w:p>
    <w:p>
      <w:pPr>
        <w:spacing w:after="60" w:before="40"/>
        <w:jc w:val="center"/>
      </w:pPr>
      <w:r>
        <w:drawing>
          <wp:inline distT="0" distB="0" distL="0" distR="0">
            <wp:extent cx="6096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3"/>
          <w:sz w:val="19"/>
          <w:szCs w:val="19"/>
        </w:rPr>
        <w:t xml:space="preserve">Figure 1 — High-level command-to-completion pipeline</w:t>
      </w:r>
    </w:p>
    <w:p>
      <w:pPr>
        <w:keepNext/>
        <w:pBdr>
          <w:bottom w:val="single" w:color="1F3B57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2. System Architecture</w:t>
      </w:r>
    </w:p>
    <w:p>
      <w:pPr>
        <w:spacing w:after="110" w:line="252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system is organized into five layers running on a single device, with no outbound inference calls at any stage. The User Interaction Layer accepts commands via desktop or the IoT companion; the Orchestration Layer (Brain → Manager → five specialized Sub-Agents) plans and routes tasks; the Intelligence Layer provides hybrid local reasoning and vision-based UI fallback; the Execution Layer carries out actions through accessibility APIs inside a restricted sandbox; and the Data Layer persists memory and state under AES-256 encryption.</w:t>
      </w:r>
    </w:p>
    <w:p>
      <w:pPr>
        <w:spacing w:after="40" w:before="40"/>
        <w:jc w:val="center"/>
      </w:pPr>
      <w:r>
        <w:drawing>
          <wp:inline distT="0" distB="0" distL="0" distR="0">
            <wp:extent cx="53340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F3B57" w:sz="6" w:space="3"/>
        </w:pBdr>
        <w:spacing w:after="90" w:before="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3. Core Features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7500"/>
      </w:tblGrid>
      <w:tr>
        <w:trPr>
          <w:tblHeader/>
        </w:trPr>
        <w:tc>
          <w:tcPr>
            <w:tcW w:type="dxa" w:w="500"/>
            <w:shd w:fill="1F3B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shd w:fill="1F3B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500"/>
            <w:shd w:fill="1F3B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Multi-Agent Orchestration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Hierarchical Brain → Manager → Sub-Agent structure interprets commands, decomposes tasks, and routes them to five specialized agents (Browser, File/OS, Communication, Research, Security) sharing one task context.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Hybrid Quantized Local Reasoning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BitNet b1.58 2B handles fast routing/simple decisions; a quantized 7–8B model handles complex reasoning — both fully offline via llama.cpp, no cloud API.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Background OS Automation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Uses OS accessibility APIs (pywinauto) to target specific UI elements directly, without bringing windows to the foreground or interrupting the user.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Vision Fallback for UI Resilience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When an element can't be found via the accessibility tree (e.g., after a layout update), a lightweight local vision model relocates it from a screenshot.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Hierarchical Long-Term Memory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local vector database (ChromaDB) stores user habits, preferences, and file paths so the system recalls context across sessions.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Zero-Trust Security &amp; Sanitized Sandboxing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 content is stripped of HTML/JavaScript before reaching the AI; the agent runs in a restricted-permission sandbox that cannot touch core OS files.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Platform-Compliant Interaction Layer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Randomized, human-like timing and cursor movement plus per-platform rate limits reduce the risk of automated-behavior detection during controlled testing.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Hardware-in-the-Loop Biometric Security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High-risk actions (e.g., deleting files, accessing SSH keys) are frozen until approved via a physical fingerprint scan — a hardware, not just software, gate.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Headless IoT Companion Node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Raspberry Pi with a wake-word microphone, fingerprint sensor, and projector allows operation and feedback even with the laptop lid closed.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Encrypted Local Data Storage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local memory and state databases (ChromaDB + SQLite) are encrypted with AES-256; encryption keys never leave the device.</w:t>
            </w:r>
          </w:p>
        </w:tc>
      </w:tr>
    </w:tbl>
    <w:p>
      <w:pPr>
        <w:keepNext/>
        <w:pBdr>
          <w:bottom w:val="single" w:color="1F3B57" w:sz="6" w:space="3"/>
        </w:pBdr>
        <w:spacing w:after="90" w:before="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4. End-to-End Process Flow</w:t>
      </w:r>
    </w:p>
    <w:p>
      <w:pPr>
        <w:spacing w:after="110" w:line="252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command follows the same controlled path from input to completion. Safety checks — input clarification, permission/risk assessment, and biometric approval for high-risk actions — are built into the flow itself rather than added afterward.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796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pBdr>
          <w:bottom w:val="single" w:color="1F3B57" w:sz="6" w:space="3"/>
        </w:pBdr>
        <w:spacing w:after="90" w:before="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5. Hybrid Quantized Reasoning Engine</w:t>
      </w:r>
    </w:p>
    <w:p>
      <w:pPr>
        <w:spacing w:after="110" w:line="252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native 1.58-bit model above 2B parameters is currently publicly available, so A.U.R.A. uses a two-tier local strategy: BitNet b1.58 2B (ternary {-1, 0, 1} weights, addition-based computation) for fast routing and simple decisions, and a standard 4-bit/8-bit quantized 7–8B model (e.g., Qwen2.5-7B or Llama-3.1-8B) for complex multi-step reasoning. Both run locally via llama.cpp with no outbound API call at any stage — reducing computational overhead, improving CPU-resource use, and making offline operation practical without a dedicated GPU.</w:t>
      </w:r>
    </w:p>
    <w:p>
      <w:pPr>
        <w:spacing w:after="60" w:before="40"/>
        <w:jc w:val="center"/>
      </w:pPr>
      <w:r>
        <w:drawing>
          <wp:inline distT="0" distB="0" distL="0" distR="0">
            <wp:extent cx="3238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F3B57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6. Security Architecture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Local-First Processing — AI inference and user context stay on the local machine; no reliance on cloud AI APIs.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Zero-Trust Input Handling — external web content is treated as untrusted, reducing the attack surface for indirect prompt injection.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Restricted Permissions — agents receive no unrestricted OS access; each operation is constrained to what the task needs.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Human-in-the-Loop — high-risk operations pause and require physical fingerprint approval before executing.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Encrypted Local Data — memory and state are protected with AES-256; keys never leave the device.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Auditable Execution — key decisions and actions can be logged so the user can review what was attempted and why.</w:t>
      </w:r>
    </w:p>
    <w:p>
      <w:pPr>
        <w:spacing w:after="40" w:line="252" w:lineRule="auto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Untrusted Content Pipeline:</w:t>
      </w:r>
    </w:p>
    <w:p>
      <w:pPr>
        <w:spacing w:after="100" w:before="20"/>
        <w:jc w:val="center"/>
      </w:pPr>
      <w:r>
        <w:drawing>
          <wp:inline distT="0" distB="0" distL="0" distR="0">
            <wp:extent cx="49530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High-Risk Action Pipeline:</w:t>
      </w:r>
    </w:p>
    <w:p>
      <w:pPr>
        <w:spacing w:after="40" w:before="20"/>
        <w:jc w:val="center"/>
      </w:pPr>
      <w:r>
        <w:drawing>
          <wp:inline distT="0" distB="0" distL="0" distR="0">
            <wp:extent cx="49530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pBdr>
          <w:bottom w:val="single" w:color="1F3B57" w:sz="6" w:space="3"/>
        </w:pBdr>
        <w:spacing w:after="90" w:before="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7. Technology Stack &amp; Hardware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1F3B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200"/>
            <w:shd w:fill="1F3B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AI / Reasoning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BitNet b1.58 2B4T; quantized 7–8B model (Qwen2.5-7B / Llama-3.1-8B); served via llama.cpp / Ollama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OS Automation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pywinauto (accessibility APIs), PyAutoGUI, Windows AppContainer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Vision Fallback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Lightweight local vision-language model for screenshot-based UI grounding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Memory &amp; State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ChromaDB (vector database), SQLite (relational state/log store)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AES-256 encryption; zero-trust web-content sanitization; restricted execution sandbox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IoT Hardware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Raspberry Pi 4 Model B / Zero 2W; AS608 optical fingerprint sensor; INMP441 I2S microphone; mini laser/OLED projector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Python; development laptop with 16GB+ RAM, no dedicated GPU required</w:t>
            </w:r>
          </w:p>
        </w:tc>
      </w:tr>
    </w:tbl>
    <w:p>
      <w:pPr>
        <w:keepNext/>
        <w:pBdr>
          <w:bottom w:val="single" w:color="1F3B57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8. Project Status &amp; Roadmap</w:t>
      </w:r>
    </w:p>
    <w:p>
      <w:pPr>
        <w:spacing w:after="90" w:line="252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Current stage: architecture and design finalized, cross-checked against 50 peer-reviewed / technical sources (2020–2026) spanning multi-agent orchestration, quantized/edge LLM inference, accessibility-based GUI agents, vision-language UI grounding, agent memory systems, and human-in-the-loop agent safety. Implementation has not yet started.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— Multi-agent architecture (Brain/Manager/Sub-Agents) and hybrid reasoning engine setup.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2 — Accessibility-based OS automation module and vision-fallback integration.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3 — Long-term memory, zero-trust security layer, and encrypted storage.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4 — Raspberry Pi IoT companion node and biometric HITL gate.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5 — Integration testing across representative task scenarios and final demo.</w:t>
      </w:r>
    </w:p>
    <w:sectPr>
      <w:headerReference w:type="default" r:id="rId7"/>
      <w:footerReference w:type="default" r:id="rId8"/>
      <w:pgSz w:w="12240" w:h="15840" w:orient="portrait"/>
      <w:pgMar w:top="720" w:right="860" w:bottom="720" w:left="86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Page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5"/>
        <w:szCs w:val="15"/>
      </w:rPr>
      <w:t xml:space="preserve"> of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A.U.R.A.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6674425f6da9a866f488682358465d49142579.png"/><Relationship Id="rId10" Type="http://schemas.openxmlformats.org/officeDocument/2006/relationships/image" Target="media/1903a52bc7657223dda6b66c3a3389779032803f.png"/><Relationship Id="rId11" Type="http://schemas.openxmlformats.org/officeDocument/2006/relationships/image" Target="media/05412cc6bbe6a31ba2270f87dd6d8b5ada9d2773.png"/><Relationship Id="rId12" Type="http://schemas.openxmlformats.org/officeDocument/2006/relationships/image" Target="media/2206d161a62ab04ec32774d5ed1a7e4bb69d7540.png"/><Relationship Id="rId13" Type="http://schemas.openxmlformats.org/officeDocument/2006/relationships/image" Target="media/36448a512c9141ef91cf04af63305fe648f909ab.png"/><Relationship Id="rId14" Type="http://schemas.openxmlformats.org/officeDocument/2006/relationships/image" Target="media/11a47b0f78def0e6eb6302fd8c8be7bae320e97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2026-09-09T18:41:48.705Z</dcterms:created>
  <dcterms:modified xsi:type="dcterms:W3CDTF">2026-09-09T18:41:48.705Z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