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B2239"/>
            <w:tcMar>
              <w:top w:w="420" w:type="dxa"/>
              <w:bottom w:w="420" w:type="dxa"/>
              <w:start w:w="420" w:type="dxa"/>
              <w:end w:w="420" w:type="dxa"/>
            </w:tcMar>
          </w:tcPr>
          <w:p>
            <w:r>
              <w:rPr>
                <w:rFonts w:ascii="Arial" w:hAnsi="Arial"/>
                <w:color w:val="7FD8CB"/>
                <w:sz w:val="20"/>
              </w:rPr>
              <w:t>TECHNICAL DOCUMENT  /  v0.1</w:t>
            </w:r>
          </w:p>
          <w:p>
            <w:pPr>
              <w:spacing w:before="200"/>
            </w:pPr>
            <w:r>
              <w:rPr>
                <w:rFonts w:ascii="Microsoft YaHei" w:hAnsi="Microsoft YaHei"/>
                <w:b/>
                <w:color w:val="FFFFFF"/>
                <w:sz w:val="56"/>
              </w:rPr>
              <w:t>ChemELLM</w:t>
              <w:br/>
              <w:t>本地化工工程工作台</w:t>
            </w:r>
          </w:p>
          <w:p>
            <w:pPr>
              <w:spacing w:before="160"/>
            </w:pPr>
            <w:r>
              <w:rPr>
                <w:rFonts w:ascii="Microsoft YaHei" w:hAnsi="Microsoft YaHei"/>
                <w:color w:val="C9D5DF"/>
                <w:sz w:val="26"/>
              </w:rPr>
              <w:t>DSH 插件 + 本地计算内核　技术文档</w:t>
            </w:r>
          </w:p>
        </w:tc>
      </w:tr>
    </w:tbl>
    <w:p>
      <w:pPr>
        <w:spacing w:after="80"/>
      </w:pPr>
      <w:r>
        <w:rPr>
          <w:rFonts w:ascii="Microsoft YaHei" w:hAnsi="Microsoft YaHei"/>
          <w:b w:val="0"/>
          <w:sz w:val="16"/>
        </w:rPr>
      </w:r>
    </w:p>
    <w:p>
      <w:pPr>
        <w:spacing w:after="80"/>
      </w:pPr>
      <w:r>
        <w:rPr>
          <w:rFonts w:ascii="Microsoft YaHei" w:hAnsi="Microsoft YaHei"/>
          <w:b w:val="0"/>
          <w:color w:val="5F6F7D"/>
          <w:sz w:val="20"/>
        </w:rPr>
        <w:t>版本：v0.1　　日期：2026-10-26　　平台：Windows x64</w:t>
      </w:r>
    </w:p>
    <w:p>
      <w:pPr>
        <w:spacing w:after="80"/>
      </w:pPr>
      <w:r>
        <w:rPr>
          <w:rFonts w:ascii="Microsoft YaHei" w:hAnsi="Microsoft YaHei"/>
          <w:b w:val="0"/>
          <w:color w:val="5F6F7D"/>
          <w:sz w:val="18"/>
        </w:rPr>
        <w:t>范围：只记录当前已实现并验证的功能；未实现内容在“边界”章节列出。</w:t>
      </w:r>
    </w:p>
    <w:p>
      <w:r>
        <w:br w:type="page"/>
      </w:r>
    </w:p>
    <w:p>
      <w:pPr>
        <w:pStyle w:val="Heading1"/>
      </w:pPr>
      <w:r>
        <w:t>1　概述</w:t>
      </w:r>
    </w:p>
    <w:p>
      <w:pPr>
        <w:pStyle w:val="Heading2"/>
      </w:pPr>
      <w:r>
        <w:t>1.1　定位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ChemELLM 本地化工工程工作台运行在 DeepSeek Harness（DSH）内，由一个 Host 插件和一个本机 Python 内核组成。原 ChemELLM 的确定性计算、证据、文档与图纸能力被保留为本地内核；会话、模型、审批与子代理交给 DSH。除模型调用外，项目数据、计算结果与成果文件全部留在本机，不依赖云端服务。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当前版本是 v0.1 的本地可用版，单用户、单机、loopback。它已能完成“资料→要求→计划→依据→计算→成果→校核→打包”的项目闭环，并已在两个案例上跑通。本文描述的是这一状态，不包含未来计划。</w:t>
      </w:r>
    </w:p>
    <w:p>
      <w:pPr>
        <w:pStyle w:val="Heading2"/>
      </w:pPr>
      <w:r>
        <w:t>1.2　当前规模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701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7880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当前实现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可执行工具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60 个（含 22 类计算与 11 个专项工具）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主域工具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12 个 chem_* 工具（项目/资料/要求/计划/对象/计算/证据/生成/校核/打包/成果/透传）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确定性计算模型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22 类（物性、衡算、反应、闪蒸、精馏、换热、压降、夹点、经济、Cantera 等）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优先工程能力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5 项：P&amp;ID 数据链、设备数据表、安全阀/爆破片选型、HAZOP/LOPA、标准符合性矩阵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验收案例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2 个：案例 A（2026 赛题·苯乙烯）、案例 B（苯-甲苯精馏）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部署包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169.0 MB / 10,379 条目；内置 CPython 3.12.7 与依赖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专业审核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未签审（chem_review 为自动校核，professionalReview=not_reviewed）</w:t>
            </w:r>
          </w:p>
        </w:tc>
      </w:tr>
    </w:tbl>
    <w:p>
      <w:pPr>
        <w:pStyle w:val="Heading2"/>
      </w:pPr>
      <w:r>
        <w:t>1.3　设计原则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确定性计算与 LLM 分离：数值、图纸、表格由内核代码生成，模型只负责编排与解释。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数据不出机：项目、成果、哈希与知识库保存在本机目录；内核只监听 127.0.0.1。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可追溯：要求→成果计划→依据→计算→文件→校核→打包形成链，数值必须带单位、条件与来源。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边界显式：未取得原文的标准条款、缺失参数、估算项在成果中标注“待核对/待确认”，不编造。</w:t>
      </w:r>
    </w:p>
    <w:p>
      <w:pPr>
        <w:pStyle w:val="Heading1"/>
      </w:pPr>
      <w:r>
        <w:t>2　系统架构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90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90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color w:val="5F6F7D"/>
          <w:sz w:val="16"/>
        </w:rPr>
        <w:t>图 1　系统分层：DSH 交互层、Host 插件、本地内核与本机数据层</w:t>
      </w:r>
    </w:p>
    <w:p>
      <w:pPr>
        <w:pStyle w:val="Heading2"/>
      </w:pPr>
      <w:r>
        <w:t>2.1　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417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3402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实现</w:t>
            </w:r>
          </w:p>
        </w:tc>
        <w:tc>
          <w:tcPr>
            <w:tcW w:type="dxa" w:w="4762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DSH Web GUI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DSH 内置会话与面板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对话、模型、审批、子代理、成果面板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Host 插件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dsh-chemellm/index.js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12 个工具注册、阶段守卫、内核探测与自动拉起、同源代理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Client 插件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dsh-chemellm/client.js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侧栏入口、项目面板、设置页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本地内核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kernel/server.py（FastAPI）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项目数据、计算、校核、打包与成果生成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计算与文档内核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old/app 归档模块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22 类计算、证据、文档、数据集等工具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工程模块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pid_standard / pid_data / datasheet / relief / hazop / compliance / cad_engineering / gear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P&amp;ID、数据表、安全、合规、设备图与齿轮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DWSIM 桥接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dwsim_bridge.py + dwsim/DwsimRunner.exe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检测外部 DWSIM、加载/求解 .dwxmz/.dwxml、导出物流 JSON/CSV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数据层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data/ 与 .chem/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项目 JSON、SQLite、成果文件、bundle、只读快照</w:t>
            </w:r>
          </w:p>
        </w:tc>
      </w:tr>
    </w:tbl>
    <w:p>
      <w:pPr>
        <w:pStyle w:val="Heading2"/>
      </w:pPr>
      <w:r>
        <w:t>2.2　一次请求的数据流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DSH 会话中的模型选择 chem_* 工具并给出参数；Host 插件校验阶段并转发到本机内核。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内核读取项目、执行确定性计算或渲染，将结果写入 data/kernel/artifacts，并登记文件哈希与来源。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chem_review 按规则检查要求映射、依据单位/来源、计算校验与文件存在性。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chem_bundle 将项目数据、计算记录、成果文件打包为 zip，并附 manifest 与 recompute.md。</w:t>
      </w:r>
    </w:p>
    <w:p>
      <w:pPr>
        <w:spacing w:after="80"/>
      </w:pPr>
      <w:r>
        <w:rPr>
          <w:rFonts w:ascii="Microsoft YaHei" w:hAnsi="Microsoft YaHei"/>
          <w:b w:val="0"/>
          <w:color w:val="5F6F7D"/>
          <w:sz w:val="18"/>
        </w:rPr>
        <w:t>内核只监听 127.0.0.1:8765；插件可在内核未启动时用包内 Python 自动拉起。</w:t>
      </w:r>
    </w:p>
    <w:p>
      <w:pPr>
        <w:pStyle w:val="Heading1"/>
      </w:pPr>
      <w:r>
        <w:t>3　运行与部署</w:t>
      </w:r>
    </w:p>
    <w:p>
      <w:pPr>
        <w:pStyle w:val="Heading2"/>
      </w:pPr>
      <w:r>
        <w:t>3.1　开发模式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本仓库使用 .venv + 本地内核：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启动内核：scripts\start-kernel.cmd（或 .ps1），监听 8765。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DSH 安装 dsh-chemellm 目录；刷新页面后出现“化工工程”侧栏。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数据目录：data/projects、data/kernel、data/bundles；快照在 .chem/。</w:t>
      </w:r>
    </w:p>
    <w:p>
      <w:pPr>
        <w:pStyle w:val="Heading2"/>
      </w:pPr>
      <w:r>
        <w:t>3.2　便携部署包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dist/dsh-chemellm-20261027-win-x64.zip：169.0 MB，10,379 个条目，内含：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runtime/python：CPython 3.12.7 embeddable（Windows x64）。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runtime/site-packages：58 个依赖（fastapi、uvicorn、scipy、thermo、CoolProp、Cantera、reportlab、ezdxf、openpyxl、python-docx 等）。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runtime/kernel：本地内核模块（server、pid、pid_data、datasheet、relief、hazop、compliance、cad、gear、dwsim）。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runtime/app：归档的 old/app 计算与文档模块。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Host 插件探测 /v1/health；不可达时用包内 python.exe 启动 runtime/kernel/server.py，数据默认写入 &lt;DSH_PROFILE_DIR&gt;/chemellm-data。目标机需 Windows x64；FreeCAD、LibreOffice 不随包，缺失时相关工具降级并提示。</w:t>
      </w:r>
    </w:p>
    <w:p>
      <w:pPr>
        <w:pStyle w:val="Heading2"/>
      </w:pPr>
      <w:r>
        <w:t>3.3　配置项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361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键</w:t>
            </w:r>
          </w:p>
        </w:tc>
        <w:tc>
          <w:tcPr>
            <w:tcW w:type="dxa" w:w="2835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5386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endpoint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http://127.0.0.1:8765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内核地址；端口也用于自动启动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token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空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可选访问令牌；与内核 CHEMELLM_KERNEL_TOKEN 同步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phaseGate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advisory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enforce 时越阶段调用返回 409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autostart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true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探测不到内核时自动拉起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python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空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覆盖 Python 路径（默认包内 runtime）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dataDir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空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覆盖数据目录</w:t>
            </w:r>
          </w:p>
        </w:tc>
      </w:tr>
    </w:tbl>
    <w:p>
      <w:pPr>
        <w:pStyle w:val="Heading2"/>
      </w:pPr>
      <w:r>
        <w:t>3.4　部署验证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用包内 runtime 在 8803 端口启动内核：/v1/health 返回 200、列出 60 个工具；临时项目实际调用五项优先工具（pid_data、equipment_datasheet、relief_sizing、hazop_lopa、compliance_matrix）均成功生成文件；SHA256SUMS 抽样一致。以上为打包后的运行时验证，不是源码目录测试。</w:t>
      </w:r>
    </w:p>
    <w:p>
      <w:pPr>
        <w:pStyle w:val="Heading1"/>
      </w:pPr>
      <w:r>
        <w:t>4　项目生命周期与数据模型</w:t>
      </w:r>
    </w:p>
    <w:p>
      <w:pPr>
        <w:pStyle w:val="Heading2"/>
      </w:pPr>
      <w:r>
        <w:t>4.1　阶段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474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5556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进入条件/产出</w:t>
            </w:r>
          </w:p>
        </w:tc>
        <w:tc>
          <w:tcPr>
            <w:tcW w:type="dxa" w:w="2551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门禁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intake</w:t>
            </w:r>
          </w:p>
        </w:tc>
        <w:tc>
          <w:tcPr>
            <w:tcW w:type="dxa" w:w="555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登记资料（哈希、页数）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advisory 放行；enforce 拦截越阶段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requirements</w:t>
            </w:r>
          </w:p>
        </w:tc>
        <w:tc>
          <w:tcPr>
            <w:tcW w:type="dxa" w:w="555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要求清单（编码、必需性、引句）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同左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plan</w:t>
            </w:r>
          </w:p>
        </w:tc>
        <w:tc>
          <w:tcPr>
            <w:tcW w:type="dxa" w:w="555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要求→成果映射、对象计划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同左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basis</w:t>
            </w:r>
          </w:p>
        </w:tc>
        <w:tc>
          <w:tcPr>
            <w:tcW w:type="dxa" w:w="555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工程对象（数值、单位、条件、来源）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同左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execute</w:t>
            </w:r>
          </w:p>
        </w:tc>
        <w:tc>
          <w:tcPr>
            <w:tcW w:type="dxa" w:w="555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计算与文件生成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同左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review</w:t>
            </w:r>
          </w:p>
        </w:tc>
        <w:tc>
          <w:tcPr>
            <w:tcW w:type="dxa" w:w="555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自动校核（blockers/warnings）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ready=true 才能打包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bundle</w:t>
            </w:r>
          </w:p>
        </w:tc>
        <w:tc>
          <w:tcPr>
            <w:tcW w:type="dxa" w:w="555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zip + manifest + recompute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生成后进入 done</w:t>
            </w:r>
          </w:p>
        </w:tc>
      </w:tr>
    </w:tbl>
    <w:p>
      <w:pPr>
        <w:pStyle w:val="Heading2"/>
      </w:pPr>
      <w:r>
        <w:t>4.2　数据对象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项目：data/projects/&lt;id&gt;/project.json，含阶段、要求、计划、对象、计算、文件与 bundle 记录。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要求：稳定编码、标题、是否必需、原文引句、适用性。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计划：deliverables（key、标题、requirementCodes、formats）与 objects。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依据：quantities 每项带 key、value、unit、origin（assumption/design_choice/document/calculation）、conditions、rationale；计算来源可带 calculationId 与 resultPath。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计算：模型、输入、结果、校验结果与时间；文件：哈希、类型、来源、预览/下载路径。</w:t>
      </w:r>
    </w:p>
    <w:p>
      <w:pPr>
        <w:pStyle w:val="Heading2"/>
      </w:pPr>
      <w:r>
        <w:t>4.3　校核与打包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chem_review 检查：要求是否映射到成果、依据数值是否带单位/条件/来源/理由、计划文件是否存在、计算是否有校验记录。ready=true 只表示这些数据完整性条件满足，不表示设计正确，也不代表专业审核。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chem_bundle 生成 zip：project.json、requirements.json、plan.json、calculations.json、files/*，以及 manifest.json（逐文件 SHA256）与 recompute.md（复算说明）。scripts/verify_bundle.py 可独立校验。</w:t>
      </w:r>
    </w:p>
    <w:p>
      <w:pPr>
        <w:pStyle w:val="Heading1"/>
      </w:pPr>
      <w:r>
        <w:t>5　工具与计算能力</w:t>
      </w:r>
    </w:p>
    <w:p>
      <w:pPr>
        <w:pStyle w:val="Heading2"/>
      </w:pPr>
      <w:r>
        <w:t>5.1　12 个主域工具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928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工具</w:t>
            </w:r>
          </w:p>
        </w:tc>
        <w:tc>
          <w:tcPr>
            <w:tcW w:type="dxa" w:w="7540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chem_project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列出/创建/读取项目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chem_intake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登记工作区资料（哈希、页数）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chem_requirements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要求清单登记与查看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chem_plan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要求→成果映射与对象计划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chem_object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工程对象（依据/物流/设备/公用工程/安全/成本）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chem_calc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调用 22 类计算模型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chem_evidence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文献检索、全文导入、证据与论断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chem_generate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报告 DOCX/PDF/PPTX/MD、PFD/PID 草图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chem_review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自动校核（blockers/warnings）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chem_bundle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打包成果（manifest + recompute）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chem_artifact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列出/预览/下载成果文件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chem_tool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透传旧工具/扩展开关工具（不传 tool 时列 60 个）</w:t>
            </w:r>
          </w:p>
        </w:tc>
      </w:tr>
    </w:tbl>
    <w:p>
      <w:pPr>
        <w:pStyle w:val="Heading2"/>
      </w:pPr>
      <w:r>
        <w:t>5.2　22 类确定性计算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814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654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模型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物性与单位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properties、steam、convert_units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衡算与反应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material_balance、reaction_thermo、mixture_reaction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相平衡与分离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flash、aqueous_flash、condenser_flash、distillation_shortcut、column_mesh、wet_column、wet_separation_train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换热与流动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heat_exchanger、pipe_pressure_drop、pinch_analysis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流程与循环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frontend_process、recycle_process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经济与数据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economics、fit_data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Cantera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cantera_equilibrium、cantera_reactor</w:t>
            </w:r>
          </w:p>
        </w:tc>
      </w:tr>
    </w:tbl>
    <w:p>
      <w:pPr>
        <w:spacing w:after="80"/>
      </w:pPr>
      <w:r>
        <w:rPr>
          <w:rFonts w:ascii="Microsoft YaHei" w:hAnsi="Microsoft YaHei"/>
          <w:b w:val="0"/>
          <w:color w:val="5F6F7D"/>
          <w:sz w:val="17"/>
        </w:rPr>
        <w:t>计算模型沿用原项目假设（如 PR kij=0、理想精馏、UNIFAC 预测等）；validation.passed 是数值校验，不等于工程正确。</w:t>
      </w:r>
    </w:p>
    <w:p>
      <w:pPr>
        <w:pStyle w:val="Heading2"/>
      </w:pPr>
      <w:r>
        <w:t>5.3　专项生成工具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381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工具</w:t>
            </w:r>
          </w:p>
        </w:tc>
        <w:tc>
          <w:tcPr>
            <w:tcW w:type="dxa" w:w="7087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pid / pid_check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A1 规范化 P&amp;ID（SVG/PDF/DXF/JSON/DEXPI 子集）+ 结构/技术警告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pid_data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管线表、MTO、仪表索引、IO 清单、C&amp;E、调节信号表（xlsx/CSV/DOCX/JSON）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equipment_datasheet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容器/塔/储罐/换热器/泵/压缩机数据表（DOCX/PDF/JSON）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relief_sizing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安全阀/爆破片计算书（DOCX/PDF/JSON）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hazop_lopa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HAZOP 偏差矩阵与 LOPA 表（xlsx/DOCX/JSON）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compliance_matrix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标准条款符合性矩阵（xlsx/DOCX/JSON）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cad_part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A3 设备图 + FCStd/STEP + BOM；gear 模式为直齿圆柱齿轮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export_xlsx / export_freecad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项目 6 表 xlsx；参数化三维布置 FCStd/STEP + 预览</w:t>
            </w:r>
          </w:p>
        </w:tc>
      </w:tr>
    </w:tbl>
    <w:p>
      <w:pPr>
        <w:pStyle w:val="Heading2"/>
      </w:pPr>
      <w:r>
        <w:t>5.4　DWSIM 外部流程模拟</w:t>
      </w:r>
    </w:p>
    <w:p>
      <w:pPr>
        <w:spacing w:after="80"/>
      </w:pPr>
      <w:r>
        <w:rPr>
          <w:rFonts w:ascii="Microsoft YaHei" w:hAnsi="Microsoft YaHei"/>
          <w:b w:val="0"/>
          <w:color w:val="5F6F7D"/>
          <w:sz w:val="17"/>
        </w:rPr>
        <w:t>`dwsim` 工具接入本机外部 DWSIM 9.0.5：加载并求解 .dwxmz/.dwxml，输出 DWSIM结果.json 与 DWSIM物流表.csv（T/K、P/Pa、质量流量 kg/s、摩尔组成）。DWSIM 为 GPL-3.0 外部软件，不随包分发。</w:t>
      </w:r>
    </w:p>
    <w:p>
      <w:pPr>
        <w:pStyle w:val="Heading1"/>
      </w:pPr>
      <w:r>
        <w:t>6　工程图纸与数据链</w:t>
      </w:r>
    </w:p>
    <w:p>
      <w:pPr>
        <w:pStyle w:val="Heading2"/>
      </w:pPr>
      <w:r>
        <w:t>6.1　规范化 P&amp;ID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pid 输出 A1 横放（841×594 mm）图：GB/T 14689 风格图框、分区编号、标题栏、修改栏、图例、说明、设备表、仪表与阀门表、管线表。图元包括：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容器/反应器（2:1 椭圆封头、裙座、接管、搅拌器）、塔器（封头、塔板/填料）、卧式换热器（壳体、管束、管箱）、泵（泵体+电机+底座）、储罐、压缩机。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ISA-5.1 风格仪表泡：现场仪表空心圆，DCS/盘装带水平线；功能字母、回路号、量程与联锁标注。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控制阀（阀体+执行机构）、手动/闸/球/蝶阀、止回阀、安全阀、爆破片、盲板、过滤器；可在工艺边上写 valves 列表，沿路由自动放置。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9"/>
        </w:rPr>
        <w:t>管线号 + 管径/规格 + 管道等级 + 保温/伴热；工艺线实线、仪表信号虚线、联锁点划线。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411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d-standard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1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color w:val="5F6F7D"/>
          <w:sz w:val="16"/>
        </w:rPr>
        <w:t>图 2　规范化 P&amp;ID 局部：2:1 封头、搅拌器、接管、管线标注与控制阀</w:t>
      </w:r>
    </w:p>
    <w:p>
      <w:pPr>
        <w:spacing w:after="80"/>
      </w:pPr>
      <w:r>
        <w:rPr>
          <w:rFonts w:ascii="Microsoft YaHei" w:hAnsi="Microsoft YaHei"/>
          <w:b w:val="0"/>
          <w:color w:val="5F6F7D"/>
          <w:sz w:val="17"/>
        </w:rPr>
        <w:t>边界：本图参照 HG/T 20519 内容深度与 ISA-5.1 符号，但未取得标准原文；off-page 接续、管线断线、管口表、管道等级库与材料等级库尚未实现，不能作为条款级合规图或施工图。</w:t>
      </w:r>
    </w:p>
    <w:p>
      <w:pPr>
        <w:pStyle w:val="Heading2"/>
      </w:pPr>
      <w:r>
        <w:t>6.2　P&amp;ID 数据链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pid_data 从同一 P&amp;ID 模型生成工程数据表，不重新绘图。案例 A 模型补齐管道等级/仪表量程/材料并加入 2 个管道阀后的结果：15 条工艺管线、15 项 MTO、5 个仪表、5 个阀门（3 个控制阀 + 2 个管道阀）、8 点 I/O、2 条联锁。输出：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6633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P&amp;ID数据表.xlsx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管线表、材料表、仪表索引、IO 清单、联锁因果表、调节信号表、说明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5 个 CSV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管线表、材料表、仪表索引、IO 清单、联锁因果表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P&amp;ID数据表.docx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同内容 Word 版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P&amp;ID数据.json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模型 + 表格数据，便于复算</w:t>
            </w:r>
          </w:p>
        </w:tc>
      </w:tr>
    </w:tbl>
    <w:p>
      <w:pPr>
        <w:pStyle w:val="Heading2"/>
      </w:pPr>
      <w:r>
        <w:t>6.3　设备图与 CAD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cad_part 生成压力容器/塔器/储罐/卧式换热器的实体（筒体+2:1 椭圆封头+裙座+接管法兰），并出 A3 设备图：立面、总高/切线长/直径尺寸、接管标高、接管表、设计数据、标题栏、比例。壁厚按 GB/T 150.1-2024 内压简化式计算，注明未计开孔补强、蠕变、外压稳定性。输出 FCStd/STEP/SVG/PDF/BOM JSON。gear 模式输出直齿圆柱齿轮的 A3 零件图、DXF、FCStd/STEP，齿廓为渐开线、齿根为简化过渡。</w:t>
      </w:r>
    </w:p>
    <w:p>
      <w:pPr>
        <w:spacing w:after="80"/>
      </w:pPr>
      <w:r>
        <w:rPr>
          <w:rFonts w:ascii="Microsoft YaHei" w:hAnsi="Microsoft YaHei"/>
          <w:b w:val="0"/>
          <w:color w:val="5F6F7D"/>
          <w:sz w:val="17"/>
        </w:rPr>
        <w:t>设备图与齿轮图均为参数化外形/示意，不含制造公差、焊缝详图、热处理与检验要求，不能直接作为制造图。</w:t>
      </w:r>
    </w:p>
    <w:p>
      <w:pPr>
        <w:pStyle w:val="Heading1"/>
      </w:pPr>
      <w:r>
        <w:t>7　安全与合规</w:t>
      </w:r>
    </w:p>
    <w:p>
      <w:pPr>
        <w:pStyle w:val="Heading2"/>
      </w:pPr>
      <w:r>
        <w:t>7.1　安全阀/爆破片选型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relief_sizing 支持气体/蒸汽（临界与亚临界）、液体与火灾工况；计算所需泄放面积，按 API 526 常用孔径选型，校核能力利用率、积聚压力（110%/121%）、背压与设定压力，并输出带公式、假设、来源与残差的 DOCX/PDF/JSON 计算书。案例 A：R-101 阻塞流所需 315 mm²，选 G 型（324.5 mm²），利用率 97.1%；V-101 火灾工况所需 1866 mm²，选 M 型（2322.6 mm²），利用率 80.4%。</w:t>
      </w:r>
    </w:p>
    <w:p>
      <w:pPr>
        <w:spacing w:after="80"/>
      </w:pPr>
      <w:r>
        <w:rPr>
          <w:rFonts w:ascii="Microsoft YaHei" w:hAnsi="Microsoft YaHei"/>
          <w:b w:val="0"/>
          <w:color w:val="5F6F7D"/>
          <w:sz w:val="17"/>
        </w:rPr>
        <w:t>API 520/521/526 原文未取得，公式按公开资料实现并在计算书中标注“待核对”；不替代厂家选型与专业审核。</w:t>
      </w:r>
    </w:p>
    <w:p>
      <w:pPr>
        <w:pStyle w:val="Heading2"/>
      </w:pPr>
      <w:r>
        <w:t>7.2　HAZOP / LOPA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hazop_lopa 生成节点清单、偏差矩阵（引导词×参数）、原因/后果/现有措施/建议、严重度×可能性风险等级；LOPA 计算初始频率 × 独立保护层 PFD 的缓解频率、所需 RRF 与 SIL 初判。案例 A：3 个节点、13 行 HAZOP、2 个 LOPA 场景；L-01 缓解后 1.0e-4/a 高于 1e-5/a 目标，L-02 增设独立联锁后 1.0e-6/a 满足。</w:t>
      </w:r>
    </w:p>
    <w:p>
      <w:pPr>
        <w:spacing w:after="80"/>
      </w:pPr>
      <w:r>
        <w:rPr>
          <w:rFonts w:ascii="Microsoft YaHei" w:hAnsi="Microsoft YaHei"/>
          <w:b w:val="0"/>
          <w:color w:val="5F6F7D"/>
          <w:sz w:val="17"/>
        </w:rPr>
        <w:t>工作表不替代 HAZOP 会议与签署；SIL 仅为按 RRF 的初判，未做 SIL 验证（PFD 计算、架构约束、共因失效）。</w:t>
      </w:r>
    </w:p>
    <w:p>
      <w:pPr>
        <w:pStyle w:val="Heading2"/>
      </w:pPr>
      <w:r>
        <w:t>7.3　标准符合性矩阵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compliance_matrix 按内置 29 条台账逐条判定，覆盖 GB/T 3915-2021、GB/T 150.1-2024、GB 36894-2018、GB 18218-2018、GB 31571-2015、HG/T 20519、HG/T 20570.2 与项目要求。判定为符合/不符合/待确认/待核对；未取得原文的条款固定“待核对”，不填具体限值。案例 A 当前：13 符合、0 不符合、14 待确认、2 待核对。</w:t>
      </w:r>
    </w:p>
    <w:p>
      <w:pPr>
        <w:spacing w:after="80"/>
      </w:pPr>
      <w:r>
        <w:rPr>
          <w:rFonts w:ascii="Microsoft YaHei" w:hAnsi="Microsoft YaHei"/>
          <w:b w:val="0"/>
          <w:color w:val="5F6F7D"/>
          <w:sz w:val="17"/>
        </w:rPr>
        <w:t>“符合”仅表示现有项目数据满足该数值或完成状态，不代表设计文件已通过专业审核，也不构成合规结论。</w:t>
      </w:r>
    </w:p>
    <w:p>
      <w:pPr>
        <w:pStyle w:val="Heading1"/>
      </w:pPr>
      <w:r>
        <w:t>8　校核、打包与验证</w:t>
      </w:r>
    </w:p>
    <w:p>
      <w:pPr>
        <w:pStyle w:val="Heading2"/>
      </w:pPr>
      <w:r>
        <w:t>8.1　自动校核的语义</w:t>
      </w:r>
    </w:p>
    <w:p>
      <w:pPr>
        <w:spacing w:after="80"/>
      </w:pPr>
      <w:r>
        <w:rPr>
          <w:rFonts w:ascii="Microsoft YaHei" w:hAnsi="Microsoft YaHei"/>
          <w:b w:val="0"/>
          <w:sz w:val="19"/>
        </w:rPr>
        <w:t>chem_review ready=true 的规则是：要求均映射到成果、依据数值带单位/条件/来源/理由、成果计划中的文件存在、计算有校验记录。它不检查流程是否最优、设备选型是否合理、P&amp;ID 是否合规、经济性是否成立。professionalReview 始终为 not_reviewed，除非另行人工签审。</w:t>
      </w:r>
    </w:p>
    <w:p>
      <w:pPr>
        <w:pStyle w:val="Heading2"/>
      </w:pPr>
      <w:r>
        <w:t>8.2　已验证结果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324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验证项</w:t>
            </w:r>
          </w:p>
        </w:tc>
        <w:tc>
          <w:tcPr>
            <w:tcW w:type="dxa" w:w="7143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232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案例 A：2026 赛题·苯乙烯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35 要求 / 18 成果 / 28 计算 / 88 文件（55 个唯一文件名）；chem_review ready=true；bundle 95 条目、88 文件哈希全部匹配</w:t>
            </w:r>
          </w:p>
        </w:tc>
      </w:tr>
      <w:tr>
        <w:trPr>
          <w:cantSplit/>
        </w:trPr>
        <w:tc>
          <w:tcPr>
            <w:tcW w:type="dxa" w:w="232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案例 B：苯-甲苯精馏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6 要求 / 4 成果 / 12 计算 / 15 文件；chem_review ready=true</w:t>
            </w:r>
          </w:p>
        </w:tc>
      </w:tr>
      <w:tr>
        <w:trPr>
          <w:cantSplit/>
        </w:trPr>
        <w:tc>
          <w:tcPr>
            <w:tcW w:type="dxa" w:w="232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P&amp;ID 数据链（规范化示例）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15 管线 / 15 MTO / 5 仪表 / 5 阀门 / 8 点 I/O / 2 联锁</w:t>
            </w:r>
          </w:p>
        </w:tc>
      </w:tr>
      <w:tr>
        <w:trPr>
          <w:cantSplit/>
        </w:trPr>
        <w:tc>
          <w:tcPr>
            <w:tcW w:type="dxa" w:w="232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安全阀选型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阻塞流 G 型 324.5 mm²，利用率 97.1%；火灾 M 型 2322.6 mm²，利用率 80.4%</w:t>
            </w:r>
          </w:p>
        </w:tc>
      </w:tr>
      <w:tr>
        <w:trPr>
          <w:cantSplit/>
        </w:trPr>
        <w:tc>
          <w:tcPr>
            <w:tcW w:type="dxa" w:w="232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HAZOP / LOPA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3 节点 / 13 行 / 2 场景（1 不满足、1 满足）</w:t>
            </w:r>
          </w:p>
        </w:tc>
      </w:tr>
      <w:tr>
        <w:trPr>
          <w:cantSplit/>
        </w:trPr>
        <w:tc>
          <w:tcPr>
            <w:tcW w:type="dxa" w:w="232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合规矩阵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29 条：13 符合 / 0 不符合 / 14 待确认 / 2 待核对</w:t>
            </w:r>
          </w:p>
        </w:tc>
      </w:tr>
      <w:tr>
        <w:trPr>
          <w:cantSplit/>
        </w:trPr>
        <w:tc>
          <w:tcPr>
            <w:tcW w:type="dxa" w:w="232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便携运行时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包内 Python 启动内核：health 200、60 工具；五项优先工具烟测 5/5 成功</w:t>
            </w:r>
          </w:p>
        </w:tc>
      </w:tr>
      <w:tr>
        <w:trPr>
          <w:cantSplit/>
        </w:trPr>
        <w:tc>
          <w:tcPr>
            <w:tcW w:type="dxa" w:w="232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DWSIM 接入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DWSIM 9.0.5 / Cavett .dwxmz：solved=true、20 条物料流、15 个单元；输出 JSON/CSV；项目 review ready=true</w:t>
            </w:r>
          </w:p>
        </w:tc>
      </w:tr>
      <w:tr>
        <w:trPr>
          <w:cantSplit/>
        </w:trPr>
        <w:tc>
          <w:tcPr>
            <w:tcW w:type="dxa" w:w="232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P&amp;ID 规范化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补齐管道等级/量程/材料后 pid_check 0 warnings；原模型会列出待补项</w:t>
            </w:r>
          </w:p>
        </w:tc>
      </w:tr>
      <w:tr>
        <w:trPr>
          <w:cantSplit/>
        </w:trPr>
        <w:tc>
          <w:tcPr>
            <w:tcW w:type="dxa" w:w="232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齿轮 CAD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m2/z20 直齿圆柱齿轮：STEP 1 个 Solid，体积 17,816.7 mm³，valid=True</w:t>
            </w:r>
          </w:p>
        </w:tc>
      </w:tr>
    </w:tbl>
    <w:p>
      <w:pPr>
        <w:spacing w:after="80"/>
      </w:pPr>
      <w:r>
        <w:rPr>
          <w:rFonts w:ascii="Microsoft YaHei" w:hAnsi="Microsoft YaHei"/>
          <w:b w:val="0"/>
          <w:color w:val="5F6F7D"/>
          <w:sz w:val="17"/>
        </w:rPr>
        <w:t>以上数字来自本机项目记录与打包验证；它们是当前实现的验证结果，不构成赛题设计正确性或专业审核结论。</w:t>
      </w:r>
    </w:p>
    <w:p>
      <w:pPr>
        <w:pStyle w:val="Heading1"/>
      </w:pPr>
      <w:r>
        <w:t>9　边界与限制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474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994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当前边界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流程模拟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DWSIM 9.0.5 已接入（加载/求解 .dwxmz/.dwxml，输出 JSON/CSV）；Aspen 未接入；22 类模型为简化/开源路线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设备设计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无换热器详细设计、塔内件水力学、管道水力/两相、材料等级库；设备数据表为工程示意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图纸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P&amp;ID 为规范化示意，非 HG/T 20519 条款级合规；无 off-page、管线断线、管口表；设备图为外形图，非施工图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标准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API 520/521/526、HG/T 20519 原文未取得；相关公式/条款标注“待核对”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外部软件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DWSIM/FreeCAD/LibreOffice 均为外部安装；DWSIM 为 GPL-3.0，不随包；缺失时对应能力提示或降级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平台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Windows x64；单用户、单机、loopback；无多租户、移动端、云端部署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审核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chem_review 是自动校核；专业审核未签审；所有成果需人工复核</w:t>
            </w:r>
          </w:p>
        </w:tc>
      </w:tr>
    </w:tbl>
    <w:p>
      <w:pPr>
        <w:spacing w:after="80"/>
      </w:pPr>
      <w:r>
        <w:rPr>
          <w:rFonts w:ascii="Microsoft YaHei" w:hAnsi="Microsoft YaHei"/>
          <w:b w:val="0"/>
          <w:color w:val="5F6F7D"/>
          <w:sz w:val="17"/>
        </w:rPr>
        <w:t>这些边界不是“未完成事项清单”，而是当前版本的适用边界；在此边界内，工作台可完成项目化、可追溯的工程文档与数据交付。</w:t>
      </w:r>
    </w:p>
    <w:p>
      <w:pPr>
        <w:pStyle w:val="Heading1"/>
      </w:pPr>
      <w:r>
        <w:t>10　文件与入口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402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6066"/>
            <w:shd w:fill="0B223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README.md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项目总览、验证记录与边界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docs/USER_GUIDE.md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插件安装、面板、工具与故障排查教程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docs/TOOLS.md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工具清单与已知限制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docs/DRAWING.md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P&amp;ID/设备图规则与 P&amp;ID 规范化说明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docs/DWSIM.md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DWSIM 外部自动化接入、调用方式与边界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docs/HAZOP.md、COMPLIANCE.md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HAZOP/LOPA 与合规矩阵的方法/台账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docs/ACCEPTANCE.md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逐项验收记录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kernel/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本地内核与工程模块源码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dsh-chemellm/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Host/Client 插件与便携 runtime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dist/dsh-chemellm-20261027-win-x64.zip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可分发部署包（169.0 MB，含 DWSIM 运行器）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data/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16"/>
              </w:rPr>
              <w:t>项目、成果、bundle（运行数据）</w:t>
            </w:r>
          </w:p>
        </w:tc>
      </w:tr>
    </w:tbl>
    <w:p>
      <w:pPr>
        <w:spacing w:after="80"/>
      </w:pPr>
      <w:r>
        <w:rPr>
          <w:rFonts w:ascii="Microsoft YaHei" w:hAnsi="Microsoft YaHei"/>
          <w:b w:val="0"/>
          <w:sz w:val="19"/>
        </w:rPr>
        <w:t>常用验证命令：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7"/>
        </w:rPr>
        <w:t>curl http://127.0.0.1:8765/v1/health　（内核健康）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7"/>
        </w:rPr>
        <w:t>curl http://127.0.0.1:8765/v1/tools　（60 个工具）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7"/>
        </w:rPr>
        <w:t>.\.venv\Scripts\python.exe -X utf8 scripts\smoke.py　（全链路冒烟）</w:t>
      </w:r>
    </w:p>
    <w:p>
      <w:pPr>
        <w:pStyle w:val="ListBullet"/>
        <w:spacing w:after="40"/>
        <w:ind w:left="312"/>
      </w:pPr>
      <w:r>
        <w:rPr>
          <w:rFonts w:ascii="Microsoft YaHei" w:hAnsi="Microsoft YaHei"/>
          <w:sz w:val="17"/>
        </w:rPr>
        <w:t>.\.venv\Scripts\python.exe -X utf8 scripts\verify_bundle.py &lt;bundle.zip&gt;　（哈希校验）</w:t>
      </w:r>
    </w:p>
    <w:p>
      <w:pPr>
        <w:spacing w:after="80"/>
      </w:pPr>
      <w:r>
        <w:rPr>
          <w:rFonts w:ascii="Microsoft YaHei" w:hAnsi="Microsoft YaHei"/>
          <w:b w:val="0"/>
          <w:color w:val="5F6F7D"/>
          <w:sz w:val="17"/>
        </w:rPr>
        <w:t>文档版本：v0.1　|　生成日期：2026-10-26　|　对应代码与数据以本机工作区为准。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/>
        <w:sz w:val="16"/>
      </w:rP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Microsoft YaHei" w:hAnsi="Microsoft YaHei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5DCE2"/>
      </w:pBdr>
    </w:pPr>
    <w:r>
      <w:rPr>
        <w:rFonts w:ascii="Microsoft YaHei" w:hAnsi="Microsoft YaHei"/>
        <w:color w:val="5F6F7D"/>
        <w:sz w:val="16"/>
      </w:rPr>
      <w:t>ChemELLM 本地化工工程工作台 · 技术文档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Microsoft YaHei" w:hAnsi="Microsoft YaHei"/>
      <w:color w:val="1B2B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B223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B223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F9E8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