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B76E79"/>
          <w:sz w:val="44"/>
          <w:szCs w:val="44"/>
        </w:rPr>
        <w:t xml:space="preserve">BÁO CÁO TIỀN KHẢ THI</w:t>
      </w:r>
    </w:p>
    <w:p>
      <w:pPr>
        <w:spacing w:after="100" w:before="200"/>
        <w:jc w:val="center"/>
      </w:pPr>
      <w:r>
        <w:rPr>
          <w:rFonts w:ascii="Calibri" w:cs="Calibri" w:eastAsia="Calibri" w:hAnsi="Calibri"/>
          <w:b/>
          <w:bCs/>
          <w:color w:val="2B2B2B"/>
          <w:sz w:val="32"/>
          <w:szCs w:val="32"/>
        </w:rPr>
        <w:t xml:space="preserve">Dự án: HƯỜNG ĐÔNG — Bộ Bài Tarot Việt Nam</w:t>
      </w:r>
    </w:p>
    <w:p>
      <w:pPr>
        <w:spacing w:after="600"/>
        <w:jc w:val="center"/>
      </w:pPr>
      <w:r>
        <w:rPr>
          <w:rFonts w:ascii="Calibri" w:cs="Calibri" w:eastAsia="Calibri" w:hAnsi="Calibri"/>
          <w:i/>
          <w:iCs/>
          <w:color w:val="6B6B6B"/>
          <w:sz w:val="22"/>
          <w:szCs w:val="22"/>
        </w:rPr>
        <w:t xml:space="preserve">Con Rồng Cháu Tiên × Tứ Bất Tử × Hệ thống Tarot Rider-Waite-Smith</w:t>
      </w:r>
    </w:p>
    <w:p>
      <w:pPr>
        <w:spacing w:after="60" w:before="900"/>
        <w:jc w:val="center"/>
      </w:pPr>
      <w:r>
        <w:rPr>
          <w:rFonts w:ascii="Calibri" w:cs="Calibri" w:eastAsia="Calibri" w:hAnsi="Calibri"/>
          <w:color w:val="2B2B2B"/>
          <w:sz w:val="20"/>
          <w:szCs w:val="20"/>
        </w:rPr>
        <w:t xml:space="preserve">Ngày lập báo cáo: 30/07/2026</w:t>
      </w:r>
    </w:p>
    <w:p>
      <w:pPr>
        <w:jc w:val="center"/>
      </w:pPr>
      <w:r>
        <w:rPr>
          <w:rFonts w:ascii="Calibri" w:cs="Calibri" w:eastAsia="Calibri" w:hAnsi="Calibri"/>
          <w:i/>
          <w:iCs/>
          <w:color w:val="6B6B6B"/>
          <w:sz w:val="20"/>
          <w:szCs w:val="20"/>
        </w:rPr>
        <w:t xml:space="preserve">Phạm vi: Đánh giá tính khả thi thị trường, sản phẩm, tài chính và tổ chức trước khi cam kết nguồn lực triển khai giai đoạn Pre-order</w:t>
      </w:r>
    </w:p>
    <w:p>
      <w:r>
        <w:br w:type="page"/>
      </w:r>
    </w:p>
    <w:p>
      <w:pPr>
        <w:sectPr>
          <w:pgSz w:w="11906" w:h="16838" w:orient="portrait"/>
          <w:pgMar w:top="1300" w:right="1300" w:bottom="1300" w:left="1300" w:header="708" w:footer="708" w:gutter="0"/>
          <w:pgNumType/>
          <w:docGrid w:linePitch="360"/>
        </w:sectPr>
      </w:pPr>
    </w:p>
    <w:p>
      <w:pPr>
        <w:pStyle w:val="Heading1"/>
        <w:pBdr>
          <w:bottom w:val="single" w:color="B76E79" w:sz="8" w:space="4"/>
        </w:pBdr>
        <w:spacing w:after="200" w:before="400"/>
      </w:pPr>
      <w:r>
        <w:rPr>
          <w:rFonts w:ascii="Calibri" w:cs="Calibri" w:eastAsia="Calibri" w:hAnsi="Calibri"/>
          <w:b/>
          <w:bCs/>
          <w:color w:val="B76E79"/>
          <w:sz w:val="30"/>
          <w:szCs w:val="30"/>
        </w:rPr>
        <w:t xml:space="preserve">1. Tóm tắt điều hành</w:t>
      </w:r>
    </w:p>
    <w:p>
      <w:pPr>
        <w:spacing w:after="160" w:line="300"/>
      </w:pPr>
      <w:r>
        <w:rPr>
          <w:rFonts w:ascii="Calibri" w:cs="Calibri" w:eastAsia="Calibri" w:hAnsi="Calibri"/>
          <w:b w:val="false"/>
          <w:bCs w:val="false"/>
          <w:i w:val="false"/>
          <w:iCs w:val="false"/>
          <w:sz w:val="21"/>
          <w:szCs w:val="21"/>
        </w:rPr>
        <w:t xml:space="preserve">Hường Đông là một bộ bài Tarot 78 lá lấy cảm hứng từ truyền thuyết Con Rồng Cháu Tiên và tín ngưỡng Tứ Bất Tử, kết hợp hệ biểu tượng Rider-Waite-Smith với bốn chất liệu dân gian Việt (tre, dâu tằm, sen, lúa). Đây là một concept có chiều sâu văn hóa hiếm có trên thị trường, nhắm vào phân khúc trung-cao (~500.000đ/bộ) với chiến lược pre-order làm đòn bẩy vốn.</w:t>
      </w:r>
    </w:p>
    <w:p>
      <w:pPr>
        <w:spacing w:after="160" w:line="300"/>
      </w:pPr>
      <w:r>
        <w:rPr>
          <w:rFonts w:ascii="Calibri" w:cs="Calibri" w:eastAsia="Calibri" w:hAnsi="Calibri"/>
          <w:b w:val="false"/>
          <w:bCs w:val="false"/>
          <w:i w:val="false"/>
          <w:iCs w:val="false"/>
          <w:sz w:val="21"/>
          <w:szCs w:val="21"/>
        </w:rPr>
        <w:t xml:space="preserve">Về mặt tài chính, mô hình cho thấy điểm hòa vốn khá thấp so với mục tiêu pre-order (chỉ cần khoảng 30-49% trong số 200 bộ pre-order để bù đắp chi phí cố định), đây là tín hiệu tích cực. Tuy nhiên, báo cáo phát hiện ba rủi ro cần xử lý trước khi triển khai: (1) khoảng trống dòng tiền giữa vốn cần có để in 500 bộ và số tiền pre-order 200 bộ thu về, (2) một mâu thuẫn số liệu trong bảng chi phí gốc cần làm rõ, và (3) một khoảng trống lịch trình bất thường (nhảy từ 2026 sang 2027-2028) trong bảng tiến độ gốc.</w:t>
      </w:r>
    </w:p>
    <w:p>
      <w:pPr>
        <w:spacing w:after="160" w:line="300"/>
      </w:pPr>
      <w:r>
        <w:rPr>
          <w:rFonts w:ascii="Calibri" w:cs="Calibri" w:eastAsia="Calibri" w:hAnsi="Calibri"/>
          <w:b/>
          <w:bCs/>
          <w:i w:val="false"/>
          <w:iCs w:val="false"/>
          <w:sz w:val="21"/>
          <w:szCs w:val="21"/>
        </w:rPr>
        <w:t xml:space="preserve">Khuyến nghị tổng thể: DỰ ÁN KHẢ THI CÓ ĐIỀU KIỆN — có thể tiến hành sang giai đoạn 10 lá bài đầu tiên và pre-order thử nghiệm, với điều kiện bổ sung phương án vốn lưu động, làm rõ số liệu chi phí, và lấp đầy vai trò quản lý truyền thông &amp; sản xuất còn bỏ trống trong cơ cấu nhân sự.</w:t>
      </w:r>
    </w:p>
    <w:p>
      <w:pPr>
        <w:pStyle w:val="Heading1"/>
        <w:pBdr>
          <w:bottom w:val="single" w:color="B76E79" w:sz="8" w:space="4"/>
        </w:pBdr>
        <w:spacing w:after="200" w:before="400"/>
      </w:pPr>
      <w:r>
        <w:rPr>
          <w:rFonts w:ascii="Calibri" w:cs="Calibri" w:eastAsia="Calibri" w:hAnsi="Calibri"/>
          <w:b/>
          <w:bCs/>
          <w:color w:val="B76E79"/>
          <w:sz w:val="30"/>
          <w:szCs w:val="30"/>
        </w:rPr>
        <w:t xml:space="preserve">2. Bối cảnh &amp; vấn đề cần giải quyết</w:t>
      </w:r>
    </w:p>
    <w:p>
      <w:pPr>
        <w:spacing w:after="160" w:line="300"/>
      </w:pPr>
      <w:r>
        <w:rPr>
          <w:rFonts w:ascii="Calibri" w:cs="Calibri" w:eastAsia="Calibri" w:hAnsi="Calibri"/>
          <w:b w:val="false"/>
          <w:bCs w:val="false"/>
          <w:i w:val="false"/>
          <w:iCs w:val="false"/>
          <w:sz w:val="21"/>
          <w:szCs w:val="21"/>
        </w:rPr>
        <w:t xml:space="preserve">Thị trường tarot/oracle tại Việt Nam hiện có nhiều bộ bài mang yếu tố bản địa (Cửu Sắc, Thiên Địa Nhân, Sông Núi Nước Nam, Tarot Kiều, U Linh, The Măm Tarot, Hồn Thiêng Bốn Phủ, Tâm Sinh Tánh) nhưng phần lớn thiên về Việt hóa hình thức hoặc nhồi nhét truyền thuyết vào lớp nghĩa Tarot mà chưa cân bằng giữa chiều sâu văn hóa và tính "dùng được" của hệ thống huyền học. Hường Đông định vị vào khoảng trống này: giữ nguyên cấu trúc 78 lá và ý nghĩa RWS truyền thống làm nền, đồng thời gắn một câu chuyện thần thoại thống nhất (không rời rạc) xuyên suốt cả 4 nhà.</w:t>
      </w:r>
    </w:p>
    <w:p>
      <w:pPr>
        <w:pBdr>
          <w:left w:val="single" w:color="C9A227" w:sz="16" w:space="8"/>
        </w:pBdr>
        <w:shd w:fill="FBEFE8" w:val="clear"/>
        <w:spacing w:after="200" w:before="100"/>
        <w:ind w:left="200"/>
      </w:pPr>
      <w:r>
        <w:rPr>
          <w:rFonts w:ascii="Calibri" w:cs="Calibri" w:eastAsia="Calibri" w:hAnsi="Calibri"/>
          <w:i/>
          <w:iCs/>
          <w:color w:val="5C4A3A"/>
          <w:sz w:val="20"/>
          <w:szCs w:val="20"/>
        </w:rPr>
        <w:t xml:space="preserve">Nhận định: Việc chọn RWS làm khung nghĩa là quyết định đúng cho khả thi thương mại — người mới học Tarot có thể chuyển đổi kiến thức đã học từ các bộ bài phương Tây phổ biến sang bộ bài này mà không phải học lại từ đầu, giảm rào cản mua hàng.</w:t>
      </w:r>
    </w:p>
    <w:p>
      <w:pPr>
        <w:pStyle w:val="Heading1"/>
        <w:pBdr>
          <w:bottom w:val="single" w:color="B76E79" w:sz="8" w:space="4"/>
        </w:pBdr>
        <w:spacing w:after="200" w:before="400"/>
      </w:pPr>
      <w:r>
        <w:rPr>
          <w:rFonts w:ascii="Calibri" w:cs="Calibri" w:eastAsia="Calibri" w:hAnsi="Calibri"/>
          <w:b/>
          <w:bCs/>
          <w:color w:val="B76E79"/>
          <w:sz w:val="30"/>
          <w:szCs w:val="30"/>
        </w:rPr>
        <w:t xml:space="preserve">3. Phân tích thị trường &amp; định vị cạnh tranh</w:t>
      </w:r>
    </w:p>
    <w:p>
      <w:pPr>
        <w:pStyle w:val="Heading2"/>
        <w:spacing w:after="140" w:before="280"/>
      </w:pPr>
      <w:r>
        <w:rPr>
          <w:rFonts w:ascii="Calibri" w:cs="Calibri" w:eastAsia="Calibri" w:hAnsi="Calibri"/>
          <w:b/>
          <w:bCs/>
          <w:color w:val="2B2B2B"/>
          <w:sz w:val="24"/>
          <w:szCs w:val="24"/>
        </w:rPr>
        <w:t xml:space="preserve">3.1 Ba nhóm khách hàng mục tiêu</w:t>
      </w:r>
    </w:p>
    <w:p>
      <w:pPr>
        <w:pStyle w:val="ListParagraph"/>
        <w:numPr>
          <w:ilvl w:val="0"/>
          <w:numId w:val="1"/>
        </w:numPr>
        <w:spacing w:after="80" w:line="280"/>
      </w:pPr>
      <w:r>
        <w:rPr>
          <w:rFonts w:ascii="Calibri" w:cs="Calibri" w:eastAsia="Calibri" w:hAnsi="Calibri"/>
          <w:b w:val="false"/>
          <w:bCs w:val="false"/>
          <w:sz w:val="21"/>
          <w:szCs w:val="21"/>
        </w:rPr>
        <w:t xml:space="preserve">Người thực hành Tarot/huyền học tại Việt Nam — cần bộ bài "dùng được" thực sự, không chỉ trưng bày.</w:t>
      </w:r>
    </w:p>
    <w:p>
      <w:pPr>
        <w:pStyle w:val="ListParagraph"/>
        <w:numPr>
          <w:ilvl w:val="0"/>
          <w:numId w:val="1"/>
        </w:numPr>
        <w:spacing w:after="80" w:line="280"/>
      </w:pPr>
      <w:r>
        <w:rPr>
          <w:rFonts w:ascii="Calibri" w:cs="Calibri" w:eastAsia="Calibri" w:hAnsi="Calibri"/>
          <w:b w:val="false"/>
          <w:bCs w:val="false"/>
          <w:sz w:val="21"/>
          <w:szCs w:val="21"/>
        </w:rPr>
        <w:t xml:space="preserve">Người mới học Tarot — hưởng lợi từ nền RWS quen thuộc, được "thổi hồn" bằng câu chuyện Việt để dễ ghi nhớ.</w:t>
      </w:r>
    </w:p>
    <w:p>
      <w:pPr>
        <w:pStyle w:val="ListParagraph"/>
        <w:numPr>
          <w:ilvl w:val="0"/>
          <w:numId w:val="1"/>
        </w:numPr>
        <w:spacing w:after="80" w:line="280"/>
      </w:pPr>
      <w:r>
        <w:rPr>
          <w:rFonts w:ascii="Calibri" w:cs="Calibri" w:eastAsia="Calibri" w:hAnsi="Calibri"/>
          <w:b w:val="false"/>
          <w:bCs w:val="false"/>
          <w:sz w:val="21"/>
          <w:szCs w:val="21"/>
        </w:rPr>
        <w:t xml:space="preserve">Người yêu văn hóa/thần thoại Việt, có xu hướng sưu tầm, đặc biệt là phái nữ — mua vì giá trị thẩm mỹ và tinh thần.</w:t>
      </w:r>
    </w:p>
    <w:p>
      <w:pPr>
        <w:pStyle w:val="Heading2"/>
        <w:spacing w:after="140" w:before="280"/>
      </w:pPr>
      <w:r>
        <w:rPr>
          <w:rFonts w:ascii="Calibri" w:cs="Calibri" w:eastAsia="Calibri" w:hAnsi="Calibri"/>
          <w:b/>
          <w:bCs/>
          <w:color w:val="2B2B2B"/>
          <w:sz w:val="24"/>
          <w:szCs w:val="24"/>
        </w:rPr>
        <w:t xml:space="preserve">3.2 Định vị giá</w:t>
      </w:r>
    </w:p>
    <w:p>
      <w:pPr>
        <w:spacing w:after="160" w:line="300"/>
      </w:pPr>
      <w:r>
        <w:rPr>
          <w:rFonts w:ascii="Calibri" w:cs="Calibri" w:eastAsia="Calibri" w:hAnsi="Calibri"/>
          <w:b w:val="false"/>
          <w:bCs w:val="false"/>
          <w:i w:val="false"/>
          <w:iCs w:val="false"/>
          <w:sz w:val="21"/>
          <w:szCs w:val="21"/>
        </w:rPr>
        <w:t xml:space="preserve">Giá bán chính thức dự kiến 500.000đ và giá pre-order 350.000đ (chiết khấu ~30%). So với các bộ bài tham chiếu trên thị trường Việt Nam, đây là mức giá trung-cao hợp lý cho một sản phẩm 300-310gsm cán vân kèm hộp thiết kế riêng — miễn là chất lượng in ấn và trải nghiệm unboxing tương xứng, vì ở phân khúc này người mua so sánh trực tiếp với hàng nhập khẩu nước ngoài có cùng mức giá.</w:t>
      </w:r>
    </w:p>
    <w:p>
      <w:pPr>
        <w:pBdr>
          <w:left w:val="single" w:color="C9A227" w:sz="16" w:space="8"/>
        </w:pBdr>
        <w:shd w:fill="FBEFE8" w:val="clear"/>
        <w:spacing w:after="200" w:before="100"/>
        <w:ind w:left="200"/>
      </w:pPr>
      <w:r>
        <w:rPr>
          <w:rFonts w:ascii="Calibri" w:cs="Calibri" w:eastAsia="Calibri" w:hAnsi="Calibri"/>
          <w:i/>
          <w:iCs/>
          <w:color w:val="5C4A3A"/>
          <w:sz w:val="20"/>
          <w:szCs w:val="20"/>
        </w:rPr>
        <w:t xml:space="preserve">Câu hỏi cần trả lời trước khi ra giá chính thức: đã có định giá tham chiếu cụ thể (không chỉ liệt kê tên) của Cửu Sắc, Thiên Địa Nhân, Sông Núi Nước Nam... theo VND để kiểm chứng khoảng giá 500.000đ có cạnh tranh hay không? Báo cáo này chưa có dữ liệu giá đối thủ nên chưa thể kết luận chắc chắn.</w:t>
      </w:r>
    </w:p>
    <w:p>
      <w:pPr>
        <w:pStyle w:val="Heading1"/>
        <w:pBdr>
          <w:bottom w:val="single" w:color="B76E79" w:sz="8" w:space="4"/>
        </w:pBdr>
        <w:spacing w:after="200" w:before="400"/>
      </w:pPr>
      <w:r>
        <w:rPr>
          <w:rFonts w:ascii="Calibri" w:cs="Calibri" w:eastAsia="Calibri" w:hAnsi="Calibri"/>
          <w:b/>
          <w:bCs/>
          <w:color w:val="B76E79"/>
          <w:sz w:val="30"/>
          <w:szCs w:val="30"/>
        </w:rPr>
        <w:t xml:space="preserve">4. Đánh giá tính khả thi sản phẩm &amp; khái niệm sáng tạo</w:t>
      </w:r>
    </w:p>
    <w:p>
      <w:pPr>
        <w:spacing w:after="160" w:line="300"/>
      </w:pPr>
      <w:r>
        <w:rPr>
          <w:rFonts w:ascii="Calibri" w:cs="Calibri" w:eastAsia="Calibri" w:hAnsi="Calibri"/>
          <w:b w:val="false"/>
          <w:bCs w:val="false"/>
          <w:i w:val="false"/>
          <w:iCs w:val="false"/>
          <w:sz w:val="21"/>
          <w:szCs w:val="21"/>
        </w:rPr>
        <w:t xml:space="preserve">Cấu trúc 22 Ẩn Chính + 56 Ẩn Phụ (4 nhà x 14 lá) đúng chuẩn Tarot 78 lá, đảm bảo khả năng "dùng được" cho người thực hành. Việc gán mỗi nhà Ẩn Phụ cho một vị Tứ Bất Tử với tinh thần riêng (Thánh Gióng – ý chí, Liễu Hạnh – tư duy sắc bén, Chử Đồng Tử – cảm xúc/chữa lành, Sơn Tinh – ổn định/trù phú) bám khá sát tinh thần nguyên bản của 4 chất Wands/Swords/Cups/Pentacles trong RWS, đây là điểm mạnh về tính nhất quán biểu tượng học.</w:t>
      </w:r>
    </w:p>
    <w:p>
      <w:pPr>
        <w:pStyle w:val="ListParagraph"/>
        <w:numPr>
          <w:ilvl w:val="0"/>
          <w:numId w:val="1"/>
        </w:numPr>
        <w:spacing w:after="80" w:line="280"/>
      </w:pPr>
      <w:r>
        <w:rPr>
          <w:rFonts w:ascii="Calibri" w:cs="Calibri" w:eastAsia="Calibri" w:hAnsi="Calibri"/>
          <w:b w:val="false"/>
          <w:bCs w:val="false"/>
          <w:sz w:val="21"/>
          <w:szCs w:val="21"/>
        </w:rPr>
        <w:t xml:space="preserve">Điểm mạnh: đổi Xu (Pentacles) thành bông lúa là lựa chọn có chủ đích văn hóa (văn minh lúa nước) thay vì chỉ đổi vỏ ngoài — tăng chiều sâu concept.</w:t>
      </w:r>
    </w:p>
    <w:p>
      <w:pPr>
        <w:pStyle w:val="ListParagraph"/>
        <w:numPr>
          <w:ilvl w:val="0"/>
          <w:numId w:val="1"/>
        </w:numPr>
        <w:spacing w:after="80" w:line="280"/>
      </w:pPr>
      <w:r>
        <w:rPr>
          <w:rFonts w:ascii="Calibri" w:cs="Calibri" w:eastAsia="Calibri" w:hAnsi="Calibri"/>
          <w:b w:val="false"/>
          <w:bCs w:val="false"/>
          <w:sz w:val="21"/>
          <w:szCs w:val="21"/>
        </w:rPr>
        <w:t xml:space="preserve">Điểm cần theo dõi: 22 lá Ẩn Chính phải tải một mạch truyện dài (từ bọc trăm trứng đến Cổ Loa sụp đổ) — rủi ro là mỗi lá phải vừa giữ đúng nghĩa Tarot gốc (vd. The Tower, The Fool...) vừa khớp một mốc truyền thuyết cụ thể; cần một bảng đối chiếu 22 lá x nghĩa RWS x mốc truyền thuyết được cố vấn huyền học và cố vấn văn hóa cùng duyệt trước khi vẽ, để tránh sửa lại hình ảnh sau khi đã lên màu hoàn chỉnh.</w:t>
      </w:r>
    </w:p>
    <w:p>
      <w:pPr>
        <w:pStyle w:val="ListParagraph"/>
        <w:numPr>
          <w:ilvl w:val="0"/>
          <w:numId w:val="1"/>
        </w:numPr>
        <w:spacing w:after="80" w:line="280"/>
      </w:pPr>
      <w:r>
        <w:rPr>
          <w:rFonts w:ascii="Calibri" w:cs="Calibri" w:eastAsia="Calibri" w:hAnsi="Calibri"/>
          <w:b w:val="false"/>
          <w:bCs w:val="false"/>
          <w:sz w:val="21"/>
          <w:szCs w:val="21"/>
        </w:rPr>
        <w:t xml:space="preserve">Rủi ro bản quyền hình ảnh tham khảo: khi nghiên cứu các bộ bài đối thủ (Cửu Sắc, U Linh, The Măm Tarot...) để tham khảo thị trường, cần đảm bảo họa sĩ chỉ tham khảo bố cục/tinh thần, không sao chép trực tiếp bố cục nhân vật hay hoa văn đặc trưng đã được đăng ký, đặc biệt vì kế hoạch bản quyền của Hường Đông được lùi lại đến "sau giai đoạn ổn định".</w:t>
      </w:r>
    </w:p>
    <w:p>
      <w:pPr>
        <w:pStyle w:val="Heading1"/>
        <w:pBdr>
          <w:bottom w:val="single" w:color="B76E79" w:sz="8" w:space="4"/>
        </w:pBdr>
        <w:spacing w:after="200" w:before="400"/>
      </w:pPr>
      <w:r>
        <w:rPr>
          <w:rFonts w:ascii="Calibri" w:cs="Calibri" w:eastAsia="Calibri" w:hAnsi="Calibri"/>
          <w:b/>
          <w:bCs/>
          <w:color w:val="B76E79"/>
          <w:sz w:val="30"/>
          <w:szCs w:val="30"/>
        </w:rPr>
        <w:t xml:space="preserve">5. Phân tích tài chính tiền khả thi</w:t>
      </w:r>
    </w:p>
    <w:p>
      <w:pPr>
        <w:pStyle w:val="Heading2"/>
        <w:spacing w:after="140" w:before="280"/>
      </w:pPr>
      <w:r>
        <w:rPr>
          <w:rFonts w:ascii="Calibri" w:cs="Calibri" w:eastAsia="Calibri" w:hAnsi="Calibri"/>
          <w:b/>
          <w:bCs/>
          <w:color w:val="2B2B2B"/>
          <w:sz w:val="24"/>
          <w:szCs w:val="24"/>
        </w:rPr>
        <w:t xml:space="preserve">5.1 Cơ cấu chi phí sản xuất (500 bộ)</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2200"/>
      </w:tblGrid>
      <w:tr>
        <w:tc>
          <w:tcPr>
            <w:tcW w:type="dxa" w:w="36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Hạng mục</w:t>
            </w:r>
          </w:p>
        </w:tc>
        <w:tc>
          <w:tcPr>
            <w:tcW w:type="dxa" w:w="22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Đơn giá thấp</w:t>
            </w:r>
          </w:p>
        </w:tc>
        <w:tc>
          <w:tcPr>
            <w:tcW w:type="dxa" w:w="22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Đơn giá cao</w:t>
            </w:r>
          </w:p>
        </w:tc>
        <w:tc>
          <w:tcPr>
            <w:tcW w:type="dxa" w:w="22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Đơn giá TB</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In 78 lá bài (300-310gsm)</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65.000đ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90.000đ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77.500đ</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Hộp giấy âm dương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20.000đ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30.000đ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25.000đ</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Sách hướng dẫn leaflet</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3.000đ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5.000đ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4.000đ</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Đóng gói, tem, màng bọc</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15.000đ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20.000đ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17.500đ</w:t>
            </w:r>
          </w:p>
        </w:tc>
      </w:tr>
      <w:tr>
        <w:tc>
          <w:tcPr>
            <w:tcW w:type="dxa" w:w="2000"/>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Tổng chi phí / bộ</w:t>
            </w:r>
          </w:p>
        </w:tc>
        <w:tc>
          <w:tcPr>
            <w:tcW w:type="dxa" w:w="2000"/>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103.000đ</w:t>
            </w:r>
          </w:p>
        </w:tc>
        <w:tc>
          <w:tcPr>
            <w:tcW w:type="dxa" w:w="2000"/>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145.000đ</w:t>
            </w:r>
          </w:p>
        </w:tc>
        <w:tc>
          <w:tcPr>
            <w:tcW w:type="dxa" w:w="2000"/>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124.000đ</w:t>
            </w:r>
          </w:p>
        </w:tc>
      </w:tr>
    </w:tbl>
    <w:p>
      <w:pPr>
        <w:spacing w:after="160" w:line="300"/>
      </w:pPr>
      <w:r>
        <w:rPr>
          <w:rFonts w:ascii="Calibri" w:cs="Calibri" w:eastAsia="Calibri" w:hAnsi="Calibri"/>
          <w:b w:val="false"/>
          <w:bCs w:val="false"/>
          <w:i w:val="false"/>
          <w:iCs w:val="false"/>
          <w:sz w:val="21"/>
          <w:szCs w:val="21"/>
        </w:rP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500"/>
        <w:gridCol w:w="3500"/>
        <w:gridCol w:w="2200"/>
      </w:tblGrid>
      <w:tr>
        <w:tc>
          <w:tcPr>
            <w:tcW w:type="dxa" w:w="45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Cấu phần chi phí lô 500 bộ</w:t>
            </w:r>
          </w:p>
        </w:tc>
        <w:tc>
          <w:tcPr>
            <w:tcW w:type="dxa" w:w="35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Khoảng ước tính</w:t>
            </w:r>
          </w:p>
        </w:tc>
        <w:tc>
          <w:tcPr>
            <w:tcW w:type="dxa" w:w="22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Trung bình</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Chi phí sản xuất biến đổi (500 bộ x đơn giá/bộ)</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51.500.000đ – 72.500.000đ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62.000.000đ</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Chi phí cố định (truyền thông, web, mẫu test, lưu kho...)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15.000.000đ – 20.000.000đ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17.500.000đ</w:t>
            </w:r>
          </w:p>
        </w:tc>
      </w:tr>
      <w:tr>
        <w:tc>
          <w:tcPr>
            <w:tcW w:type="dxa" w:w="2000"/>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TỔNG CHI PHÍ DỰ KIẾN</w:t>
            </w:r>
          </w:p>
        </w:tc>
        <w:tc>
          <w:tcPr>
            <w:tcW w:type="dxa" w:w="2000"/>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66.500.000đ – 92.500.000đ</w:t>
            </w:r>
          </w:p>
        </w:tc>
        <w:tc>
          <w:tcPr>
            <w:tcW w:type="dxa" w:w="2000"/>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79.500.000đ</w:t>
            </w:r>
          </w:p>
        </w:tc>
      </w:tr>
    </w:tbl>
    <w:p>
      <w:pPr>
        <w:pBdr>
          <w:left w:val="single" w:color="C9A227" w:sz="16" w:space="8"/>
        </w:pBdr>
        <w:shd w:fill="FBEFE8" w:val="clear"/>
        <w:spacing w:after="200" w:before="100"/>
        <w:ind w:left="200"/>
      </w:pPr>
      <w:r>
        <w:rPr>
          <w:rFonts w:ascii="Calibri" w:cs="Calibri" w:eastAsia="Calibri" w:hAnsi="Calibri"/>
          <w:i/>
          <w:iCs/>
          <w:color w:val="5C4A3A"/>
          <w:sz w:val="20"/>
          <w:szCs w:val="20"/>
        </w:rPr>
        <w:t xml:space="preserve">Phát hiện cần làm rõ: brief gốc ghi "Tổng chi phí tối thiểu: 40.000.000 + pre order (70.000.000-75.000.000 VND)", con số này không khớp với phép tính cộng dồn từ bảng 6.1 (66,5-92,5 triệu đồng). Trước khi chốt ngân sách, đội ngũ cần thống nhất lại một bảng chi phí duy nhất — báo cáo này dùng con số tính từ Bảng 6.1 (bottom-up) làm cơ sở cho các phân tích bên dưới.</w:t>
      </w:r>
    </w:p>
    <w:p>
      <w:pPr>
        <w:pStyle w:val="Heading2"/>
        <w:spacing w:after="140" w:before="280"/>
      </w:pPr>
      <w:r>
        <w:rPr>
          <w:rFonts w:ascii="Calibri" w:cs="Calibri" w:eastAsia="Calibri" w:hAnsi="Calibri"/>
          <w:b/>
          <w:bCs/>
          <w:color w:val="2B2B2B"/>
          <w:sz w:val="24"/>
          <w:szCs w:val="24"/>
        </w:rPr>
        <w:t xml:space="preserve">5.2 Kịch bản doanh thu &amp; lợi nhuận</w:t>
      </w:r>
    </w:p>
    <w:p>
      <w:pPr>
        <w:spacing w:after="160" w:line="300"/>
      </w:pPr>
      <w:r>
        <w:rPr>
          <w:rFonts w:ascii="Calibri" w:cs="Calibri" w:eastAsia="Calibri" w:hAnsi="Calibri"/>
          <w:b w:val="false"/>
          <w:bCs w:val="false"/>
          <w:i w:val="false"/>
          <w:iCs w:val="false"/>
          <w:sz w:val="21"/>
          <w:szCs w:val="21"/>
        </w:rPr>
        <w:t xml:space="preserve">Giả định: 200 bộ bán theo giá pre-order 350.000đ, phần còn lại (300 bộ) bán theo giá bán lẻ 500.000đ. Tổng doanh thu tối đa nếu bán hết 500 bộ: 220.000.000đ.</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2700"/>
        <w:gridCol w:w="2700"/>
      </w:tblGrid>
      <w:tr>
        <w:tc>
          <w:tcPr>
            <w:tcW w:type="dxa" w:w="32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Kịch bản</w:t>
            </w:r>
          </w:p>
        </w:tc>
        <w:tc>
          <w:tcPr>
            <w:tcW w:type="dxa" w:w="27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Doanh thu</w:t>
            </w:r>
          </w:p>
        </w:tc>
        <w:tc>
          <w:tcPr>
            <w:tcW w:type="dxa" w:w="27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Chi phí (TB)</w:t>
            </w:r>
          </w:p>
        </w:tc>
        <w:tc>
          <w:tcPr>
            <w:tcW w:type="dxa" w:w="27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Lợi nhuận / Biên LN</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Bi quan — chỉ bán được 200 bộ pre-order, 300 bộ tồn kho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70.000.000đ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79.500.000đ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B00020"/>
                <w:sz w:val="19"/>
                <w:szCs w:val="19"/>
              </w:rPr>
              <w:t xml:space="preserve">-9.500.000đ (lỗ)</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Cơ sở — 200 bộ pre-order + 150/300 bộ bán lẻ (50% sell-through)</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145.000.000đ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79.500.000đ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+65.500.000đ (~45%)</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Lạc quan — bán hết 500 bộ</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220.000.000đ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79.500.000đ</w:t>
            </w:r>
          </w:p>
        </w:tc>
        <w:tc>
          <w:tcPr>
            <w:tcW w:type="dxa" w:w="2000"/>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+140.500.000đ (~64%)</w:t>
            </w:r>
          </w:p>
        </w:tc>
      </w:tr>
    </w:tbl>
    <w:p>
      <w:pPr>
        <w:spacing w:after="160" w:line="300"/>
      </w:pPr>
      <w:r>
        <w:rPr>
          <w:rFonts w:ascii="Calibri" w:cs="Calibri" w:eastAsia="Calibri" w:hAnsi="Calibri"/>
          <w:b w:val="false"/>
          <w:bCs w:val="false"/>
          <w:i w:val="false"/>
          <w:iCs w:val="false"/>
          <w:sz w:val="21"/>
          <w:szCs w:val="21"/>
        </w:rPr>
        <w:t xml:space="preserve"/>
      </w:r>
    </w:p>
    <w:p>
      <w:pPr>
        <w:pStyle w:val="Heading2"/>
        <w:spacing w:after="140" w:before="280"/>
      </w:pPr>
      <w:r>
        <w:rPr>
          <w:rFonts w:ascii="Calibri" w:cs="Calibri" w:eastAsia="Calibri" w:hAnsi="Calibri"/>
          <w:b/>
          <w:bCs/>
          <w:color w:val="2B2B2B"/>
          <w:sz w:val="24"/>
          <w:szCs w:val="24"/>
        </w:rPr>
        <w:t xml:space="preserve">5.3 Điểm hòa vốn</w:t>
      </w:r>
    </w:p>
    <w:p>
      <w:pPr>
        <w:spacing w:after="160" w:line="300"/>
      </w:pPr>
      <w:r>
        <w:rPr>
          <w:rFonts w:ascii="Calibri" w:cs="Calibri" w:eastAsia="Calibri" w:hAnsi="Calibri"/>
          <w:b w:val="false"/>
          <w:bCs w:val="false"/>
          <w:i w:val="false"/>
          <w:iCs w:val="false"/>
          <w:sz w:val="21"/>
          <w:szCs w:val="21"/>
        </w:rPr>
        <w:t xml:space="preserve">Vì đơn giá pre-order (350.000đ) và giá bán lẻ (500.000đ) đều cao hơn chi phí biến đổi/bộ (103.000-145.000đ), mỗi bộ bán ra đều tạo biên đóng góp dương ngay từ đơn vị đầu tiên. Áp dụng biên đóng góp của kênh pre-order để bù đắp phần chi phí cố định (15-20 triệu):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c>
          <w:tcPr>
            <w:tcW w:type="dxa" w:w="30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Giả định</w:t>
            </w:r>
          </w:p>
        </w:tc>
        <w:tc>
          <w:tcPr>
            <w:tcW w:type="dxa" w:w="30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Biên đóng góp/bộ (pre-order)</w:t>
            </w:r>
          </w:p>
        </w:tc>
        <w:tc>
          <w:tcPr>
            <w:tcW w:type="dxa" w:w="33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Số bộ hòa vốn (chi phí cố định)</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Kịch bản tốt (chi phí 103.000đ/bộ, CP cố định 15tr)</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247.000đ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~61 bộ (31% mục tiêu 200 bộ)</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Kịch bản xấu (chi phí 145.000đ/bộ, CP cố định 20tr)</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205.000đ</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~98 bộ (49% mục tiêu 200 bộ)</w:t>
            </w:r>
          </w:p>
        </w:tc>
      </w:tr>
    </w:tbl>
    <w:p>
      <w:pPr>
        <w:pBdr>
          <w:left w:val="single" w:color="C9A227" w:sz="16" w:space="8"/>
        </w:pBdr>
        <w:shd w:fill="FBEFE8" w:val="clear"/>
        <w:spacing w:after="200" w:before="100"/>
        <w:ind w:left="200"/>
      </w:pPr>
      <w:r>
        <w:rPr>
          <w:rFonts w:ascii="Calibri" w:cs="Calibri" w:eastAsia="Calibri" w:hAnsi="Calibri"/>
          <w:i/>
          <w:iCs/>
          <w:color w:val="5C4A3A"/>
          <w:sz w:val="20"/>
          <w:szCs w:val="20"/>
        </w:rPr>
        <w:t xml:space="preserve">Đây là điểm tích cực nhất của mô hình: chỉ cần bán được 31-49% số lượng pre-order mục tiêu là đã đủ bù đắp toàn bộ chi phí cố định. Biên an toàn (margin of safety) ước tính 51-70% so với mục tiêu 200 bộ.</w:t>
      </w:r>
    </w:p>
    <w:p>
      <w:pPr>
        <w:pStyle w:val="Heading2"/>
        <w:spacing w:after="140" w:before="280"/>
      </w:pPr>
      <w:r>
        <w:rPr>
          <w:rFonts w:ascii="Calibri" w:cs="Calibri" w:eastAsia="Calibri" w:hAnsi="Calibri"/>
          <w:b/>
          <w:bCs/>
          <w:color w:val="2B2B2B"/>
          <w:sz w:val="24"/>
          <w:szCs w:val="24"/>
        </w:rPr>
        <w:t xml:space="preserve">5.4 Nhu cầu vốn lưu động &amp; rủi ro dòng tiền — RỦI RO TÀI CHÍNH TRỌNG YẾU</w:t>
      </w:r>
    </w:p>
    <w:p>
      <w:pPr>
        <w:spacing w:after="160" w:line="300"/>
      </w:pPr>
      <w:r>
        <w:rPr>
          <w:rFonts w:ascii="Calibri" w:cs="Calibri" w:eastAsia="Calibri" w:hAnsi="Calibri"/>
          <w:b w:val="false"/>
          <w:bCs w:val="false"/>
          <w:i w:val="false"/>
          <w:iCs w:val="false"/>
          <w:sz w:val="21"/>
          <w:szCs w:val="21"/>
        </w:rPr>
        <w:t xml:space="preserve">Điểm hòa vốn thấp không đồng nghĩa với an toàn dòng tiền. Nhà in thường yêu cầu thanh toán một phần hoặc toàn bộ khi đặt in lô 500 bộ, trong khi tiền pre-order (200 bộ) chỉ thu về dần trong suốt giai đoạn mở bán, và theo Bảng 4.1 gốc, mốc pre-order lại nằm rất xa so với mốc bắt đầu sản xuất.</w:t>
      </w:r>
    </w:p>
    <w:p>
      <w:pPr>
        <w:pStyle w:val="ListParagraph"/>
        <w:numPr>
          <w:ilvl w:val="0"/>
          <w:numId w:val="1"/>
        </w:numPr>
        <w:spacing w:after="80" w:line="280"/>
      </w:pPr>
      <w:r>
        <w:rPr>
          <w:rFonts w:ascii="Calibri" w:cs="Calibri" w:eastAsia="Calibri" w:hAnsi="Calibri"/>
          <w:b w:val="false"/>
          <w:bCs w:val="false"/>
          <w:sz w:val="21"/>
          <w:szCs w:val="21"/>
        </w:rPr>
        <w:t xml:space="preserve">Vốn cần có TRƯỚC khi nhận doanh thu pre-order: toàn bộ chi phí biến đổi in 500 bộ (51,5-72,5 triệu) cộng một phần chi phí cố định trả trước (web, mẫu test, quảng cáo mở bán) — ước tính 60-80 triệu đồng.</w:t>
      </w:r>
    </w:p>
    <w:p>
      <w:pPr>
        <w:pStyle w:val="ListParagraph"/>
        <w:numPr>
          <w:ilvl w:val="0"/>
          <w:numId w:val="1"/>
        </w:numPr>
        <w:spacing w:after="80" w:line="280"/>
      </w:pPr>
      <w:r>
        <w:rPr>
          <w:rFonts w:ascii="Calibri" w:cs="Calibri" w:eastAsia="Calibri" w:hAnsi="Calibri"/>
          <w:b w:val="false"/>
          <w:bCs w:val="false"/>
          <w:sz w:val="21"/>
          <w:szCs w:val="21"/>
        </w:rPr>
        <w:t xml:space="preserve">Doanh thu pre-order kỳ vọng: 70 triệu đồng (200 bộ x 350.000đ), nhưng khoản này thường thu theo dòng (khách đặt rải rác trong vài tuần), không phải một lần.</w:t>
      </w:r>
    </w:p>
    <w:p>
      <w:pPr>
        <w:pStyle w:val="ListParagraph"/>
        <w:numPr>
          <w:ilvl w:val="0"/>
          <w:numId w:val="1"/>
        </w:numPr>
        <w:spacing w:after="80" w:line="280"/>
      </w:pPr>
      <w:r>
        <w:rPr>
          <w:rFonts w:ascii="Calibri" w:cs="Calibri" w:eastAsia="Calibri" w:hAnsi="Calibri"/>
          <w:b w:val="false"/>
          <w:bCs w:val="false"/>
          <w:sz w:val="21"/>
          <w:szCs w:val="21"/>
        </w:rPr>
        <w:t xml:space="preserve">Rủi ro: nếu tốc độ pre-order chậm hơn tiến độ cần thanh toán cho nhà in, dự án có thể thiếu hụt 10-25 triệu đồng ngay tại thời điểm quan trọng nhất — đúng như rủi ro mà brief gốc đã nêu ("Nếu pre order không thành công, chi phí sản xuất có thể bị thiếu hụt ngân sách").</w:t>
      </w:r>
    </w:p>
    <w:p>
      <w:pPr>
        <w:pBdr>
          <w:left w:val="single" w:color="C9A227" w:sz="16" w:space="8"/>
        </w:pBdr>
        <w:shd w:fill="FBEFE8" w:val="clear"/>
        <w:spacing w:after="200" w:before="100"/>
        <w:ind w:left="200"/>
      </w:pPr>
      <w:r>
        <w:rPr>
          <w:rFonts w:ascii="Calibri" w:cs="Calibri" w:eastAsia="Calibri" w:hAnsi="Calibri"/>
          <w:i/>
          <w:iCs/>
          <w:color w:val="5C4A3A"/>
          <w:sz w:val="20"/>
          <w:szCs w:val="20"/>
        </w:rPr>
        <w:t xml:space="preserve">Khuyến nghị: (1) đàm phán với nhà in để chỉ đặt cọc 30-50% ban đầu, thanh toán phần còn lại khi giao hàng; (2) cân nhắc in thử một lô nhỏ hơn (vd. 250-300 bộ) cho đợt đầu để giảm vốn mắc kẹt, tăng số lượng ở đợt in thứ hai sau khi pre-order đã xác nhận nhu cầu thực; (3) chuẩn bị một khoản dự phòng vốn cá nhân/góp vốn tối thiểu 20-25 triệu đồng để lấp khoảng trống thời gian giữa đặt in và thu tiền pre-order.</w:t>
      </w:r>
    </w:p>
    <w:p>
      <w:pPr>
        <w:pStyle w:val="Heading1"/>
        <w:pBdr>
          <w:bottom w:val="single" w:color="B76E79" w:sz="8" w:space="4"/>
        </w:pBdr>
        <w:spacing w:after="200" w:before="400"/>
      </w:pPr>
      <w:r>
        <w:rPr>
          <w:rFonts w:ascii="Calibri" w:cs="Calibri" w:eastAsia="Calibri" w:hAnsi="Calibri"/>
          <w:b/>
          <w:bCs/>
          <w:color w:val="B76E79"/>
          <w:sz w:val="30"/>
          <w:szCs w:val="30"/>
        </w:rPr>
        <w:t xml:space="preserve">6. Kế hoạch ra mắt &amp; truyền thông (Go-to-market)</w:t>
      </w:r>
    </w:p>
    <w:p>
      <w:pPr>
        <w:pStyle w:val="Heading2"/>
        <w:spacing w:after="140" w:before="280"/>
      </w:pPr>
      <w:r>
        <w:rPr>
          <w:rFonts w:ascii="Calibri" w:cs="Calibri" w:eastAsia="Calibri" w:hAnsi="Calibri"/>
          <w:b/>
          <w:bCs/>
          <w:color w:val="2B2B2B"/>
          <w:sz w:val="24"/>
          <w:szCs w:val="24"/>
        </w:rPr>
        <w:t xml:space="preserve">6.1 Mục tiêu chiến dịch</w:t>
      </w:r>
    </w:p>
    <w:p>
      <w:pPr>
        <w:spacing w:after="160" w:line="300"/>
      </w:pPr>
      <w:r>
        <w:rPr>
          <w:rFonts w:ascii="Calibri" w:cs="Calibri" w:eastAsia="Calibri" w:hAnsi="Calibri"/>
          <w:b w:val="false"/>
          <w:bCs w:val="false"/>
          <w:i w:val="false"/>
          <w:iCs w:val="false"/>
          <w:sz w:val="21"/>
          <w:szCs w:val="21"/>
        </w:rPr>
        <w:t xml:space="preserve">Mục tiêu chính: đạt 200 lượt pre-order (đạt điểm hòa vốn ở mức 61-98 bộ, do đó 200 là mục tiêu tăng trưởng, không chỉ mục tiêu sống còn) trong vòng 8-10 tuần kể từ khi mở bán, tính từ mốc dự kiến trong Bảng 4.1.</w:t>
      </w:r>
    </w:p>
    <w:p>
      <w:pPr>
        <w:pStyle w:val="Heading2"/>
        <w:spacing w:after="140" w:before="280"/>
      </w:pPr>
      <w:r>
        <w:rPr>
          <w:rFonts w:ascii="Calibri" w:cs="Calibri" w:eastAsia="Calibri" w:hAnsi="Calibri"/>
          <w:b/>
          <w:bCs/>
          <w:color w:val="2B2B2B"/>
          <w:sz w:val="24"/>
          <w:szCs w:val="24"/>
        </w:rPr>
        <w:t xml:space="preserve">6.2 Đối tượng &amp; thông điệp cốt lõi</w:t>
      </w:r>
    </w:p>
    <w:p>
      <w:pPr>
        <w:spacing w:after="160" w:line="300"/>
      </w:pPr>
      <w:r>
        <w:rPr>
          <w:rFonts w:ascii="Calibri" w:cs="Calibri" w:eastAsia="Calibri" w:hAnsi="Calibri"/>
          <w:b w:val="false"/>
          <w:bCs w:val="false"/>
          <w:i w:val="false"/>
          <w:iCs w:val="false"/>
          <w:sz w:val="21"/>
          <w:szCs w:val="21"/>
        </w:rPr>
        <w:t xml:space="preserve">Thông điệp cốt lõi: "Một bộ Tarot mà người Việt không cần Việt hóa để hiểu — vì nó được sinh ra từ chính câu chuyện của dân tộc mình." Thông điệp phụ nhắm ba nhóm: (1) với người thực hành — "dùng được, không chỉ để trưng"; (2) với người mới học — "học Tarot qua câu chuyện quen thuộc, dễ nhớ hơn"; (3) với người sưu tầm — "một tác phẩm nghệ thuật mang tinh thần bình minh phương Đông".</w:t>
      </w:r>
    </w:p>
    <w:p>
      <w:pPr>
        <w:pStyle w:val="Heading2"/>
        <w:spacing w:after="140" w:before="280"/>
      </w:pPr>
      <w:r>
        <w:rPr>
          <w:rFonts w:ascii="Calibri" w:cs="Calibri" w:eastAsia="Calibri" w:hAnsi="Calibri"/>
          <w:b/>
          <w:bCs/>
          <w:color w:val="2B2B2B"/>
          <w:sz w:val="24"/>
          <w:szCs w:val="24"/>
        </w:rPr>
        <w:t xml:space="preserve">6.3 Kênh truyền thông &amp; phân bổ ngân sách gợi ý</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000"/>
        <w:gridCol w:w="2300"/>
      </w:tblGrid>
      <w:tr>
        <w:tc>
          <w:tcPr>
            <w:tcW w:type="dxa" w:w="26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Kênh</w:t>
            </w:r>
          </w:p>
        </w:tc>
        <w:tc>
          <w:tcPr>
            <w:tcW w:type="dxa" w:w="34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Vai trò</w:t>
            </w:r>
          </w:p>
        </w:tc>
        <w:tc>
          <w:tcPr>
            <w:tcW w:type="dxa" w:w="20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Mức nỗ lực</w:t>
            </w:r>
          </w:p>
        </w:tc>
        <w:tc>
          <w:tcPr>
            <w:tcW w:type="dxa" w:w="23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 ngân sách</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Fanpage (organic)</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Kể chuyện thần thoại, hé lộ hình ảnh 10 lá đầu, xây cộng đồng chờ pre-order</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Trung bình</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35%</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Quảng cáo có trả phí (Facebook/TikTok Ads)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Tiếp cận nhóm mới ngoài fan sẵn có, thúc đẩy pre-order đúng thời điểm mở bán</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Trung bình</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30%</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Người ảnh hưởng / cộng đồng Tarot Việt</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Đánh giá độ "dùng được", tăng độ tin cậy với người thực hành</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Trung bình-Cao</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20%</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Website demo (huong-dong-tarot.web.app)</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Điểm chuyển đổi cuối — tra cứu ý nghĩa lá bài, đặt pre-order</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Thấp (đã có)</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10%</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Dự phòng</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Cơ hội phát sinh, thử nghiệm kênh mới</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5%</w:t>
            </w:r>
          </w:p>
        </w:tc>
      </w:tr>
    </w:tbl>
    <w:p>
      <w:pPr>
        <w:pStyle w:val="Heading2"/>
        <w:spacing w:after="140" w:before="280"/>
      </w:pPr>
      <w:r>
        <w:rPr>
          <w:rFonts w:ascii="Calibri" w:cs="Calibri" w:eastAsia="Calibri" w:hAnsi="Calibri"/>
          <w:b/>
          <w:bCs/>
          <w:color w:val="2B2B2B"/>
          <w:sz w:val="24"/>
          <w:szCs w:val="24"/>
        </w:rPr>
        <w:t xml:space="preserve">6.4 Lịch nội dung sơ bộ (trước mốc mở pre-order)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000"/>
        <w:gridCol w:w="1900"/>
      </w:tblGrid>
      <w:tr>
        <w:tc>
          <w:tcPr>
            <w:tcW w:type="dxa" w:w="16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Tuần</w:t>
            </w:r>
          </w:p>
        </w:tc>
        <w:tc>
          <w:tcPr>
            <w:tcW w:type="dxa" w:w="48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Nội dung</w:t>
            </w:r>
          </w:p>
        </w:tc>
        <w:tc>
          <w:tcPr>
            <w:tcW w:type="dxa" w:w="20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Kênh</w:t>
            </w:r>
          </w:p>
        </w:tc>
        <w:tc>
          <w:tcPr>
            <w:tcW w:type="dxa" w:w="19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Trạng thái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1-2</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Giới thiệu concept "Hường Đông" — câu chuyện Lạc Long Quân &amp; Âu Cơ làm mở màn</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Fanpage</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3-5</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Hé lộ lần lượt 10 lá bài đầu tiên kèm câu chuyện văn hóa gắn với từng lá</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Fanpage + Web</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6-7</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Hợp tác người ảnh hưởng ngành Tarot review chất lượng &amp; tính "dùng được"</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KOL/Cộng đồng</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8</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Mở đăng ký chờ (waitlist) trước pre-order, thu thập email/SĐT quan tâm</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Web + Fanpage</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9-10</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Mở pre-order chính thức, chạy quảng cáo trả phí, đếm ngược số lượng còn lại</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Tất cả kênh</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Chưa triển khai</w:t>
            </w:r>
          </w:p>
        </w:tc>
      </w:tr>
    </w:tbl>
    <w:p>
      <w:pPr>
        <w:pStyle w:val="Heading2"/>
        <w:spacing w:after="140" w:before="280"/>
      </w:pPr>
      <w:r>
        <w:rPr>
          <w:rFonts w:ascii="Calibri" w:cs="Calibri" w:eastAsia="Calibri" w:hAnsi="Calibri"/>
          <w:b/>
          <w:bCs/>
          <w:color w:val="2B2B2B"/>
          <w:sz w:val="24"/>
          <w:szCs w:val="24"/>
        </w:rPr>
        <w:t xml:space="preserve">6.5 Chỉ số đo lường thành công (KPI)</w:t>
      </w:r>
    </w:p>
    <w:p>
      <w:pPr>
        <w:pStyle w:val="ListParagraph"/>
        <w:numPr>
          <w:ilvl w:val="0"/>
          <w:numId w:val="1"/>
        </w:numPr>
        <w:spacing w:after="80" w:line="280"/>
      </w:pPr>
      <w:r>
        <w:rPr>
          <w:rFonts w:ascii="Calibri" w:cs="Calibri" w:eastAsia="Calibri" w:hAnsi="Calibri"/>
          <w:b w:val="false"/>
          <w:bCs w:val="false"/>
          <w:sz w:val="21"/>
          <w:szCs w:val="21"/>
        </w:rPr>
        <w:t xml:space="preserve">KPI chính: 200 lượt pre-order trong 8-10 tuần mở bán (theo dõi hằng tuần, so với mốc hòa vốn 61-98 bộ).</w:t>
      </w:r>
    </w:p>
    <w:p>
      <w:pPr>
        <w:pStyle w:val="ListParagraph"/>
        <w:numPr>
          <w:ilvl w:val="0"/>
          <w:numId w:val="1"/>
        </w:numPr>
        <w:spacing w:after="80" w:line="280"/>
      </w:pPr>
      <w:r>
        <w:rPr>
          <w:rFonts w:ascii="Calibri" w:cs="Calibri" w:eastAsia="Calibri" w:hAnsi="Calibri"/>
          <w:b w:val="false"/>
          <w:bCs w:val="false"/>
          <w:sz w:val="21"/>
          <w:szCs w:val="21"/>
        </w:rPr>
        <w:t xml:space="preserve">KPI phụ: tỉ lệ chuyển đổi từ waitlist sang pre-order; chi phí trên mỗi lượt pre-order (nếu chạy ads); tương tác trên các bài hé lộ 10 lá đầu; số lượt truy cập &amp; thời gian ở lại website tra cứu.</w:t>
      </w:r>
    </w:p>
    <w:p>
      <w:pPr>
        <w:pStyle w:val="Heading1"/>
        <w:pBdr>
          <w:bottom w:val="single" w:color="B76E79" w:sz="8" w:space="4"/>
        </w:pBdr>
        <w:spacing w:after="200" w:before="400"/>
      </w:pPr>
      <w:r>
        <w:rPr>
          <w:rFonts w:ascii="Calibri" w:cs="Calibri" w:eastAsia="Calibri" w:hAnsi="Calibri"/>
          <w:b/>
          <w:bCs/>
          <w:color w:val="B76E79"/>
          <w:sz w:val="30"/>
          <w:szCs w:val="30"/>
        </w:rPr>
        <w:t xml:space="preserve">7. Đánh giá tiến độ &amp; lịch trình — phát hiện bất thường cần xử lý ngay</w:t>
      </w:r>
    </w:p>
    <w:p>
      <w:pPr>
        <w:spacing w:after="160" w:line="300"/>
      </w:pPr>
      <w:r>
        <w:rPr>
          <w:rFonts w:ascii="Calibri" w:cs="Calibri" w:eastAsia="Calibri" w:hAnsi="Calibri"/>
          <w:b w:val="false"/>
          <w:bCs w:val="false"/>
          <w:i w:val="false"/>
          <w:iCs w:val="false"/>
          <w:sz w:val="21"/>
          <w:szCs w:val="21"/>
        </w:rPr>
        <w:t xml:space="preserve">Bảng 4.1 gốc thể hiện một khoảng nhảy thời gian bất thường: các mốc số 2-5 đều nằm trong năm 2026 (17/7 đến 1/10/2026), nhưng mốc số 6 "Pre-order qua fanpage" lại ghi 1/10/2027 — cách mốc số 5 đúng một năm — và mốc số 7 "TikTok Shop, Shopee" ghi 1/1/2028, cách mốc 6 hơn một năm. Nếu đây là số liệu chính xác, chiến lược truyền thông "bắt đầu ngay khi có ý tưởng + 10 lá đầu" ở mốc 4 sẽ phải duy trì liên tục suốt hơn một năm trước khi pre-order mở — điều này cần ngân sách truyền thông lớn hơn nhiều so với 15-20 triệu đồng dự phòng đã tính ở mục 5.1, vốn chỉ đủ cho một chiến dịch ngắn hạn.</w:t>
      </w:r>
    </w:p>
    <w:p>
      <w:pPr>
        <w:pBdr>
          <w:left w:val="single" w:color="C9A227" w:sz="16" w:space="8"/>
        </w:pBdr>
        <w:shd w:fill="FBEFE8" w:val="clear"/>
        <w:spacing w:after="200" w:before="100"/>
        <w:ind w:left="200"/>
      </w:pPr>
      <w:r>
        <w:rPr>
          <w:rFonts w:ascii="Calibri" w:cs="Calibri" w:eastAsia="Calibri" w:hAnsi="Calibri"/>
          <w:i/>
          <w:iCs/>
          <w:color w:val="5C4A3A"/>
          <w:sz w:val="20"/>
          <w:szCs w:val="20"/>
        </w:rPr>
        <w:t xml:space="preserve">Khuyến nghị: xác nhận lại với đội ngũ liệu mốc số 6 và 7 có phải là lỗi đánh máy (nên là 2026 thay vì 2027/2028) hay là chủ đích kéo dài thời gian nuôi cộng đồng trước khi bán. Đây là quyết định ảnh hưởng trực tiếp đến toàn bộ ngân sách truyền thông và mô hình tài chính ở Mục 5 — nên được làm rõ trước khi phê duyệt ngân sách chính thức.</w:t>
      </w:r>
    </w:p>
    <w:p>
      <w:pPr>
        <w:pStyle w:val="Heading1"/>
        <w:pBdr>
          <w:bottom w:val="single" w:color="B76E79" w:sz="8" w:space="4"/>
        </w:pBdr>
        <w:spacing w:after="200" w:before="400"/>
      </w:pPr>
      <w:r>
        <w:rPr>
          <w:rFonts w:ascii="Calibri" w:cs="Calibri" w:eastAsia="Calibri" w:hAnsi="Calibri"/>
          <w:b/>
          <w:bCs/>
          <w:color w:val="B76E79"/>
          <w:sz w:val="30"/>
          <w:szCs w:val="30"/>
        </w:rPr>
        <w:t xml:space="preserve">8. Đánh giá đội ngũ &amp; năng lực tổ chức</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3400"/>
      </w:tblGrid>
      <w:tr>
        <w:tc>
          <w:tcPr>
            <w:tcW w:type="dxa" w:w="26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Thành viên</w:t>
            </w:r>
          </w:p>
        </w:tc>
        <w:tc>
          <w:tcPr>
            <w:tcW w:type="dxa" w:w="43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Vai trò</w:t>
            </w:r>
          </w:p>
        </w:tc>
        <w:tc>
          <w:tcPr>
            <w:tcW w:type="dxa" w:w="34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Ghi chú khả thi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Nguyễn Thành Vỉnh</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Định hướng nội dung, biểu tượng, hình ảnh; hỗ trợ design, viết nội dung, truyền thông</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Vai trò kiêm nhiệm nhiều — cần rõ ưu tiên khi khối lượng công việc tăng ở giai đoạn truyền thông</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Lê Đỗ Minh Thông</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Đảm bảo chuyển thể văn hóa đúng cấu trúc Tarot; viết sách hướng dẫn, đưa nội dung lên web</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Vai trò "gác cổng" chất lượng huyền học — nên là người duyệt cuối cùng bảng đối chiếu 22 lá Ẩn Chính đã nêu ở Mục 4</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Nguyễn Ngọc Trúc Lam</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Chuyển concept thành 78 lá bài hình ảnh nhất quán, phong cách dreamy/fantasy</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Khối lượng lớn nhất (78 lá) — là nút thắt cổ chai (bottleneck) tiến độ chính của cả dự án</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(Chưa có tên)</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Đại diện quản lý truyền thông &amp; sản xuất — lập kế hoạch truyền thông, đàm phán nhà in</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VỊ TRÍ CÒN TRỐNG — đây là rủi ro tổ chức lớn nhất vì vai trò này vừa chịu trách nhiệm đàm phán chi phí sản xuất (Mục 5) vừa vận hành chiến dịch pre-order (Mục 6)</w:t>
            </w:r>
          </w:p>
        </w:tc>
      </w:tr>
    </w:tbl>
    <w:p>
      <w:pPr>
        <w:pBdr>
          <w:left w:val="single" w:color="C9A227" w:sz="16" w:space="8"/>
        </w:pBdr>
        <w:shd w:fill="FBEFE8" w:val="clear"/>
        <w:spacing w:after="200" w:before="100"/>
        <w:ind w:left="200"/>
      </w:pPr>
      <w:r>
        <w:rPr>
          <w:rFonts w:ascii="Calibri" w:cs="Calibri" w:eastAsia="Calibri" w:hAnsi="Calibri"/>
          <w:i/>
          <w:iCs/>
          <w:color w:val="5C4A3A"/>
          <w:sz w:val="20"/>
          <w:szCs w:val="20"/>
        </w:rPr>
        <w:t xml:space="preserve">Khuyến nghị: ưu tiên lấp đầy vị trí quản lý truyền thông &amp; sản xuất trước khi bước sang giai đoạn mốc 3 (hoàn thiện 10 lá đầu, lên kế hoạch truyền thông) trong Bảng 4.1, vì đây là vai trò cầu nối giữa mô hình tài chính và kế hoạch ra mắt — thiếu vai trò này, cả hai phần còn lại đều thiếu người chịu trách nhiệm thực thi.</w:t>
      </w:r>
    </w:p>
    <w:p>
      <w:pPr>
        <w:pStyle w:val="Heading1"/>
        <w:pBdr>
          <w:bottom w:val="single" w:color="B76E79" w:sz="8" w:space="4"/>
        </w:pBdr>
        <w:spacing w:after="200" w:before="400"/>
      </w:pPr>
      <w:r>
        <w:rPr>
          <w:rFonts w:ascii="Calibri" w:cs="Calibri" w:eastAsia="Calibri" w:hAnsi="Calibri"/>
          <w:b/>
          <w:bCs/>
          <w:color w:val="B76E79"/>
          <w:sz w:val="30"/>
          <w:szCs w:val="30"/>
        </w:rPr>
        <w:t xml:space="preserve">9. Ma trận rủi ro tổng hợp</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500"/>
        <w:gridCol w:w="3600"/>
      </w:tblGrid>
      <w:tr>
        <w:tc>
          <w:tcPr>
            <w:tcW w:type="dxa" w:w="26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Rủi ro</w:t>
            </w:r>
          </w:p>
        </w:tc>
        <w:tc>
          <w:tcPr>
            <w:tcW w:type="dxa" w:w="32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Tác động</w:t>
            </w:r>
          </w:p>
        </w:tc>
        <w:tc>
          <w:tcPr>
            <w:tcW w:type="dxa" w:w="1500"/>
            <w:shd w:fill="F3D9C4" w:val="clear"/>
            <w:tcMar>
              <w:top w:type="dxa" w:w="80"/>
              <w:left w:type="dxa" w:w="100"/>
              <w:bottom w:type="dxa" w:w="80"/>
              <w:right w:type="dxa" w:w="100"/>
            </w:tcMar>
            <w:vAlign w:val="center"/>
          </w:tcPr>
          <w:p>
            <w:pPr>
              <w:jc w:val="center"/>
            </w:pPr>
            <w:r>
              <w:rPr>
                <w:rFonts w:ascii="Calibri" w:cs="Calibri" w:eastAsia="Calibri" w:hAnsi="Calibri"/>
                <w:b/>
                <w:bCs/>
                <w:color w:val="2B2B2B"/>
                <w:sz w:val="19"/>
                <w:szCs w:val="19"/>
              </w:rPr>
              <w:t xml:space="preserve">Mức độ</w:t>
            </w:r>
          </w:p>
        </w:tc>
        <w:tc>
          <w:tcPr>
            <w:tcW w:type="dxa" w:w="3600"/>
            <w:shd w:fill="F3D9C4" w:val="clear"/>
            <w:tcMar>
              <w:top w:type="dxa" w:w="80"/>
              <w:left w:type="dxa" w:w="100"/>
              <w:bottom w:type="dxa" w:w="80"/>
              <w:right w:type="dxa" w:w="100"/>
            </w:tcMar>
            <w:vAlign w:val="center"/>
          </w:tcPr>
          <w:p>
            <w:pPr>
              <w:jc w:val="left"/>
            </w:pPr>
            <w:r>
              <w:rPr>
                <w:rFonts w:ascii="Calibri" w:cs="Calibri" w:eastAsia="Calibri" w:hAnsi="Calibri"/>
                <w:b/>
                <w:bCs/>
                <w:color w:val="2B2B2B"/>
                <w:sz w:val="19"/>
                <w:szCs w:val="19"/>
              </w:rPr>
              <w:t xml:space="preserve">Biện pháp giảm thiểu</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Khoảng trống dòng tiền in 500 bộ vs. thu pre-order</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Thiếu vốn tại đúng thời điểm cần thanh toán nhà in</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B00020"/>
                <w:sz w:val="19"/>
                <w:szCs w:val="19"/>
              </w:rPr>
              <w:t xml:space="preserve">Cao</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Đặt cọc từng phần với nhà in; in lô nhỏ hơn cho đợt đầu; chuẩn bị vốn dự phòng 20-25 triệu</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Vị trí quản lý truyền thông &amp; sản xuất bỏ trống</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Không ai chịu trách nhiệm đàm phán giá in và vận hành chiến dịch</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B00020"/>
                <w:sz w:val="19"/>
                <w:szCs w:val="19"/>
              </w:rPr>
              <w:t xml:space="preserve">Cao</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Tuyển hoặc chỉ định người phụ trách trước mốc tháng 8/2026</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Mâu thuẫn số liệu chi phí trong brief gốc</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Ngân sách phê duyệt có thể sai lệch với thực tế</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C77700"/>
                <w:sz w:val="19"/>
                <w:szCs w:val="19"/>
              </w:rPr>
              <w:t xml:space="preserve">Trung bình</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Thống nhất một bảng chi phí duy nhất trước khi gọi vốn/pre-order</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Khoảng nhảy lịch trình 2026 → 2027-2028</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Ngân sách truyền thông có thể không đủ nếu phải duy trì hơn 1 năm</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C77700"/>
                <w:sz w:val="19"/>
                <w:szCs w:val="19"/>
              </w:rPr>
              <w:t xml:space="preserve">Trung bình</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Xác nhận lại mốc thời gian thật với đội ngũ trước khi lập ngân sách truyền thông chính thức</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Bản quyền hình ảnh tham khảo đối thủ</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Rủi ro tranh chấp nếu hình ảnh quá giống bộ bài tham chiếu</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C77700"/>
                <w:sz w:val="19"/>
                <w:szCs w:val="19"/>
              </w:rPr>
              <w:t xml:space="preserve">Trung bình</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Chỉ tham khảo tinh thần/bố cục, không sao chép; cân nhắc đăng ký bản quyền sớm hơn thay vì "sau khi ổn định"</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22 lá Ẩn Chính vừa giữ nghĩa RWS vừa khớp mốc truyền thuyết</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Có thể phải sửa lại hình ảnh sau khi đã vẽ hoàn chỉnh, tốn thời gian &amp; chi phí</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B2B2B"/>
                <w:sz w:val="19"/>
                <w:szCs w:val="19"/>
              </w:rPr>
              <w:t xml:space="preserve">Thấp-TB</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B2B2B"/>
                <w:sz w:val="19"/>
                <w:szCs w:val="19"/>
              </w:rPr>
              <w:t xml:space="preserve">Lập bảng đối chiếu 22 lá x nghĩa Tarot x mốc truyền thuyết, có cố vấn duyệt trước khi vẽ</w:t>
            </w:r>
          </w:p>
        </w:tc>
      </w:tr>
    </w:tbl>
    <w:p>
      <w:pPr>
        <w:pStyle w:val="Heading1"/>
        <w:pBdr>
          <w:bottom w:val="single" w:color="B76E79" w:sz="8" w:space="4"/>
        </w:pBdr>
        <w:spacing w:after="200" w:before="400"/>
      </w:pPr>
      <w:r>
        <w:rPr>
          <w:rFonts w:ascii="Calibri" w:cs="Calibri" w:eastAsia="Calibri" w:hAnsi="Calibri"/>
          <w:b/>
          <w:bCs/>
          <w:color w:val="B76E79"/>
          <w:sz w:val="30"/>
          <w:szCs w:val="30"/>
        </w:rPr>
        <w:t xml:space="preserve">10. Kết luận &amp; khuyến nghị</w:t>
      </w:r>
    </w:p>
    <w:p>
      <w:pPr>
        <w:spacing w:after="160" w:line="300"/>
      </w:pPr>
      <w:r>
        <w:rPr>
          <w:rFonts w:ascii="Calibri" w:cs="Calibri" w:eastAsia="Calibri" w:hAnsi="Calibri"/>
          <w:b w:val="false"/>
          <w:bCs w:val="false"/>
          <w:i w:val="false"/>
          <w:iCs w:val="false"/>
          <w:sz w:val="21"/>
          <w:szCs w:val="21"/>
        </w:rPr>
        <w:t xml:space="preserve">Về mặt sáng tạo và định vị thị trường, Hường Đông là một concept mạnh, có sự khác biệt rõ ràng và giữ được cân bằng giữa chiều sâu văn hóa và tính ứng dụng Tarot — đây là điều kiện cần để thành công trong phân khúc trung-cao. Về mặt tài chính, mô hình đơn vị (unit economics) tích cực với điểm hòa vốn thấp và biên an toàn cao, nhưng rủi ro thực sự không nằm ở khả năng sinh lời mà ở thời điểm dòng tiền — khoảng trống giữa lúc cần trả tiền in 500 bộ và lúc thu đủ tiền pre-order 200 bộ.</w:t>
      </w:r>
    </w:p>
    <w:p>
      <w:pPr>
        <w:spacing w:after="160" w:line="300"/>
      </w:pPr>
      <w:r>
        <w:rPr>
          <w:rFonts w:ascii="Calibri" w:cs="Calibri" w:eastAsia="Calibri" w:hAnsi="Calibri"/>
          <w:b/>
          <w:bCs/>
          <w:i w:val="false"/>
          <w:iCs w:val="false"/>
          <w:sz w:val="21"/>
          <w:szCs w:val="21"/>
        </w:rPr>
        <w:t xml:space="preserve">KHUYẾN NGHỊ: TIẾN HÀNH CÓ ĐIỀU KIỆN.</w:t>
      </w:r>
    </w:p>
    <w:p>
      <w:pPr>
        <w:pStyle w:val="ListParagraph"/>
        <w:numPr>
          <w:ilvl w:val="0"/>
          <w:numId w:val="1"/>
        </w:numPr>
        <w:spacing w:after="80" w:line="280"/>
      </w:pPr>
      <w:r>
        <w:rPr>
          <w:rFonts w:ascii="Calibri" w:cs="Calibri" w:eastAsia="Calibri" w:hAnsi="Calibri"/>
          <w:b w:val="false"/>
          <w:bCs w:val="false"/>
          <w:sz w:val="21"/>
          <w:szCs w:val="21"/>
        </w:rPr>
        <w:t xml:space="preserve">Điều kiện 1: Thống nhất lại một bảng chi phí duy nhất, loại bỏ mâu thuẫn số liệu giữa "40 triệu + pre-order" và bảng cộng dồn 66,5-92,5 triệu.</w:t>
      </w:r>
    </w:p>
    <w:p>
      <w:pPr>
        <w:pStyle w:val="ListParagraph"/>
        <w:numPr>
          <w:ilvl w:val="0"/>
          <w:numId w:val="1"/>
        </w:numPr>
        <w:spacing w:after="80" w:line="280"/>
      </w:pPr>
      <w:r>
        <w:rPr>
          <w:rFonts w:ascii="Calibri" w:cs="Calibri" w:eastAsia="Calibri" w:hAnsi="Calibri"/>
          <w:b w:val="false"/>
          <w:bCs w:val="false"/>
          <w:sz w:val="21"/>
          <w:szCs w:val="21"/>
        </w:rPr>
        <w:t xml:space="preserve">Điều kiện 2: Xác nhận lại mốc thời gian pre-order thật (2026 hay 2027) trước khi lập ngân sách truyền thông chính thức.</w:t>
      </w:r>
    </w:p>
    <w:p>
      <w:pPr>
        <w:pStyle w:val="ListParagraph"/>
        <w:numPr>
          <w:ilvl w:val="0"/>
          <w:numId w:val="1"/>
        </w:numPr>
        <w:spacing w:after="80" w:line="280"/>
      </w:pPr>
      <w:r>
        <w:rPr>
          <w:rFonts w:ascii="Calibri" w:cs="Calibri" w:eastAsia="Calibri" w:hAnsi="Calibri"/>
          <w:b w:val="false"/>
          <w:bCs w:val="false"/>
          <w:sz w:val="21"/>
          <w:szCs w:val="21"/>
        </w:rPr>
        <w:t xml:space="preserve">Điều kiện 3: Lấp đầy vị trí quản lý truyền thông &amp; sản xuất trước khi bước vào mốc hoàn thiện 10 lá đầu.</w:t>
      </w:r>
    </w:p>
    <w:p>
      <w:pPr>
        <w:pStyle w:val="ListParagraph"/>
        <w:numPr>
          <w:ilvl w:val="0"/>
          <w:numId w:val="1"/>
        </w:numPr>
        <w:spacing w:after="80" w:line="280"/>
      </w:pPr>
      <w:r>
        <w:rPr>
          <w:rFonts w:ascii="Calibri" w:cs="Calibri" w:eastAsia="Calibri" w:hAnsi="Calibri"/>
          <w:b w:val="false"/>
          <w:bCs w:val="false"/>
          <w:sz w:val="21"/>
          <w:szCs w:val="21"/>
        </w:rPr>
        <w:t xml:space="preserve">Điều kiện 4: Đàm phán phương án đặt cọc từng phần với nhà in hoặc giảm quy mô lô in đầu tiên (250-300 bộ) để giảm vốn mắc kẹt.</w:t>
      </w:r>
    </w:p>
    <w:p>
      <w:pPr>
        <w:spacing w:after="160" w:line="300"/>
      </w:pPr>
      <w:r>
        <w:rPr>
          <w:rFonts w:ascii="Calibri" w:cs="Calibri" w:eastAsia="Calibri" w:hAnsi="Calibri"/>
          <w:b w:val="false"/>
          <w:bCs w:val="false"/>
          <w:i w:val="false"/>
          <w:iCs w:val="false"/>
          <w:sz w:val="21"/>
          <w:szCs w:val="21"/>
        </w:rPr>
        <w:t xml:space="preserve">Nếu bốn điều kiện trên được xử lý trong giai đoạn hiện tại (đang triển khai định hình phân khúc khách hàng, theo Bảng 4.1), dự án có đủ cơ sở để bước vào giai đoạn hoàn thiện 10 lá bài đầu tiên và mở pre-order thử nghiệm đúng kế hoạch.</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2026-07-30T05:27:55.642Z</dcterms:created>
  <dcterms:modified xsi:type="dcterms:W3CDTF">2026-07-30T05:27:55.663Z</dcterms:modified>
</cp:coreProperties>
</file>

<file path=docProps/custom.xml><?xml version="1.0" encoding="utf-8"?>
<Properties xmlns="http://schemas.openxmlformats.org/officeDocument/2006/custom-properties" xmlns:vt="http://schemas.openxmlformats.org/officeDocument/2006/docPropsVTypes"/>
</file>