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E13C3" w14:textId="77777777" w:rsidR="00FD7927" w:rsidRPr="00EE7F84" w:rsidRDefault="00000000" w:rsidP="00EE7F84">
      <w:pPr>
        <w:spacing w:after="160" w:line="240" w:lineRule="auto"/>
        <w:jc w:val="center"/>
        <w:rPr>
          <w:rFonts w:ascii="Times New Roman" w:eastAsia="Times New Roman" w:hAnsi="Times New Roman" w:cs="Times New Roman"/>
          <w:b/>
          <w:bCs/>
          <w:sz w:val="32"/>
          <w:szCs w:val="32"/>
          <w:lang w:val="en-AU" w:eastAsia="zh-CN"/>
        </w:rPr>
      </w:pPr>
      <w:r w:rsidRPr="00EE7F84">
        <w:rPr>
          <w:rFonts w:ascii="Times New Roman" w:eastAsia="Times New Roman" w:hAnsi="Times New Roman" w:cs="Times New Roman"/>
          <w:b/>
          <w:bCs/>
          <w:sz w:val="32"/>
          <w:szCs w:val="32"/>
          <w:lang w:val="en-AU" w:eastAsia="zh-CN"/>
        </w:rPr>
        <w:t>ARISE Practical Interpretive Case for Reflexive Thematic Analysis and Maturity-Model Benchmarking</w:t>
      </w:r>
    </w:p>
    <w:p w14:paraId="2B78ED64" w14:textId="7777777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This revised document presents the former implementation scenario as a practical interpretive case. The purpose is not to claim technical or statistical validation of ARISE. Instead, the case is used to position ARISE within Reflexive Thematic Analysis (RTA) and maturity-model benchmarking by showing how the framework may be interpreted, discussed, compared, and refined in a realistic small-business context.</w:t>
      </w:r>
    </w:p>
    <w:p w14:paraId="5937EF17" w14:textId="77777777" w:rsidR="00FD7927" w:rsidRPr="00EE7F84" w:rsidRDefault="00000000" w:rsidP="00EE7F84">
      <w:pPr>
        <w:spacing w:after="160" w:line="240" w:lineRule="auto"/>
        <w:rPr>
          <w:rFonts w:ascii="Times New Roman" w:eastAsia="Times New Roman" w:hAnsi="Times New Roman" w:cs="Times New Roman"/>
          <w:b/>
          <w:bCs/>
          <w:sz w:val="28"/>
          <w:szCs w:val="28"/>
          <w:lang w:val="en-AU" w:eastAsia="zh-CN"/>
        </w:rPr>
      </w:pPr>
      <w:r w:rsidRPr="00EE7F84">
        <w:rPr>
          <w:rFonts w:ascii="Times New Roman" w:eastAsia="Times New Roman" w:hAnsi="Times New Roman" w:cs="Times New Roman"/>
          <w:b/>
          <w:bCs/>
          <w:sz w:val="28"/>
          <w:szCs w:val="28"/>
          <w:lang w:val="en-AU" w:eastAsia="zh-CN"/>
        </w:rPr>
        <w:t>1. Methodological Reframing</w:t>
      </w:r>
    </w:p>
    <w:p w14:paraId="51DC366C" w14:textId="48BC6A22"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The original implementation language has been revised because it may imply that ARISE has already been empirically proven in a live small business environment. At this stage of the research, a more accurate description is that the case provides a practical interpretive setting. It allows the researcher to examine how ARISE can be applied to a micro-business context, how its phases relate to recognised cybersecurity maturity concepts, and how stakeholder feedback could later be analysed through RTA.</w:t>
      </w:r>
    </w:p>
    <w:p w14:paraId="0820AAC0" w14:textId="7777777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Within RTA, the aim is not to validate a framework through statistical testing or inter-rater agreement. Instead, the aim is to produce a coherent, reflexive, and transparent interpretation of participant experiences, organisational constraints, and framework applicability. The practical interpretive case therefore supports the methodological positioning of ARISE by making the assumed organisational context visible and by showing how prevention, detection, response, and recovery could be examined through participant feedback, coding, theme development, and framework refinement.</w:t>
      </w:r>
    </w:p>
    <w:p w14:paraId="68432F3C" w14:textId="386448BC"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The case also contributes to maturity-model benchmarking. ARISE is not presented as an isolated framework. It is positioned in relation to recognised cybersecurity guidance such as the NIST Cybersecurity Framework, ISO/IEC 27001, the Australian Essential Eight, and SMB1001. Benchmarking is used as an interpretive and comparative activity rather than as a positivist validation exercise. It shows where ARISE aligns with established maturity constructs and where it adapts those constructs for </w:t>
      </w:r>
      <w:r w:rsidR="00EC755F">
        <w:rPr>
          <w:rFonts w:asciiTheme="majorBidi" w:hAnsiTheme="majorBidi" w:cstheme="majorBidi"/>
          <w:sz w:val="24"/>
          <w:szCs w:val="24"/>
          <w:lang w:val="en-AU"/>
        </w:rPr>
        <w:t>small businesses</w:t>
      </w:r>
      <w:r w:rsidRPr="00EE7F84">
        <w:rPr>
          <w:rFonts w:asciiTheme="majorBidi" w:hAnsiTheme="majorBidi" w:cstheme="majorBidi"/>
          <w:sz w:val="24"/>
          <w:szCs w:val="24"/>
          <w:lang w:val="en-AU"/>
        </w:rPr>
        <w:t xml:space="preserve"> with limited resources.</w:t>
      </w:r>
      <w:r w:rsidR="00EC755F">
        <w:rPr>
          <w:rFonts w:asciiTheme="majorBidi" w:hAnsiTheme="majorBidi" w:cstheme="majorBidi"/>
          <w:sz w:val="24"/>
          <w:szCs w:val="24"/>
          <w:lang w:val="en-AU"/>
        </w:rPr>
        <w:t xml:space="preserve"> Former planned Proof – of Concept, which is built theoretically to be applied to small businesses, could be reframed as a practical interpretive case. Table 1 includes the reframing process of the former PoC as a practical interpretive case. </w:t>
      </w:r>
    </w:p>
    <w:p w14:paraId="7478066E" w14:textId="77777777" w:rsidR="00FD7927" w:rsidRPr="00EE7F84" w:rsidRDefault="00000000" w:rsidP="00EE7F84">
      <w:pPr>
        <w:pStyle w:val="Caption"/>
        <w:keepNext/>
        <w:jc w:val="center"/>
        <w:rPr>
          <w:rFonts w:ascii="Times New Roman" w:eastAsia="Times New Roman" w:hAnsi="Times New Roman" w:cs="Times New Roman"/>
          <w:b w:val="0"/>
          <w:bCs w:val="0"/>
          <w:color w:val="000000" w:themeColor="text1"/>
          <w:sz w:val="20"/>
          <w:szCs w:val="20"/>
          <w:lang w:val="en-AU" w:eastAsia="zh-CN"/>
        </w:rPr>
      </w:pPr>
      <w:r w:rsidRPr="00EE7F84">
        <w:rPr>
          <w:rFonts w:ascii="Times New Roman" w:eastAsia="Times New Roman" w:hAnsi="Times New Roman" w:cs="Times New Roman"/>
          <w:b w:val="0"/>
          <w:bCs w:val="0"/>
          <w:color w:val="000000" w:themeColor="text1"/>
          <w:sz w:val="20"/>
          <w:szCs w:val="20"/>
          <w:lang w:val="en-AU" w:eastAsia="zh-CN"/>
        </w:rPr>
        <w:t>Table 1. Reframing the former PoC as a practical interpretive case.</w:t>
      </w:r>
    </w:p>
    <w:tbl>
      <w:tblPr>
        <w:tblStyle w:val="TableGrid"/>
        <w:tblW w:w="0" w:type="auto"/>
        <w:jc w:val="center"/>
        <w:tblLook w:val="04A0" w:firstRow="1" w:lastRow="0" w:firstColumn="1" w:lastColumn="0" w:noHBand="0" w:noVBand="1"/>
      </w:tblPr>
      <w:tblGrid>
        <w:gridCol w:w="2268"/>
        <w:gridCol w:w="2835"/>
        <w:gridCol w:w="3402"/>
      </w:tblGrid>
      <w:tr w:rsidR="00FD7927" w:rsidRPr="00EE7F84" w14:paraId="6CE0FA8F" w14:textId="77777777">
        <w:trPr>
          <w:jc w:val="center"/>
        </w:trPr>
        <w:tc>
          <w:tcPr>
            <w:tcW w:w="2268" w:type="dxa"/>
            <w:shd w:val="clear" w:color="auto" w:fill="D9EAF0"/>
            <w:vAlign w:val="center"/>
          </w:tcPr>
          <w:p w14:paraId="3B9BB0E8"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Former framing</w:t>
            </w:r>
          </w:p>
        </w:tc>
        <w:tc>
          <w:tcPr>
            <w:tcW w:w="2835" w:type="dxa"/>
            <w:shd w:val="clear" w:color="auto" w:fill="D9EAF0"/>
            <w:vAlign w:val="center"/>
          </w:tcPr>
          <w:p w14:paraId="5EDE935D"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Revised framing</w:t>
            </w:r>
          </w:p>
        </w:tc>
        <w:tc>
          <w:tcPr>
            <w:tcW w:w="3402" w:type="dxa"/>
            <w:shd w:val="clear" w:color="auto" w:fill="D9EAF0"/>
            <w:vAlign w:val="center"/>
          </w:tcPr>
          <w:p w14:paraId="1BC843E2"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Methodological reason</w:t>
            </w:r>
          </w:p>
        </w:tc>
      </w:tr>
      <w:tr w:rsidR="00FD7927" w:rsidRPr="00EE7F84" w14:paraId="74CFA415" w14:textId="77777777">
        <w:trPr>
          <w:jc w:val="center"/>
        </w:trPr>
        <w:tc>
          <w:tcPr>
            <w:tcW w:w="2268" w:type="dxa"/>
          </w:tcPr>
          <w:p w14:paraId="0DF92867"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Implementation demonstration</w:t>
            </w:r>
          </w:p>
        </w:tc>
        <w:tc>
          <w:tcPr>
            <w:tcW w:w="2835" w:type="dxa"/>
          </w:tcPr>
          <w:p w14:paraId="2A8FB2D6"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Practical interpretive case</w:t>
            </w:r>
          </w:p>
        </w:tc>
        <w:tc>
          <w:tcPr>
            <w:tcW w:w="3402" w:type="dxa"/>
          </w:tcPr>
          <w:p w14:paraId="65CC9727" w14:textId="369E5331"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 xml:space="preserve">Avoids implying that ARISE has already been technically proven in live </w:t>
            </w:r>
            <w:r w:rsidR="00EC755F">
              <w:rPr>
                <w:rFonts w:ascii="Times New Roman" w:eastAsia="Times New Roman" w:hAnsi="Times New Roman" w:cs="Times New Roman"/>
                <w:sz w:val="22"/>
                <w:lang w:val="en-AU"/>
              </w:rPr>
              <w:t>small business</w:t>
            </w:r>
            <w:r w:rsidRPr="00EE7F84">
              <w:rPr>
                <w:rFonts w:ascii="Times New Roman" w:eastAsia="Times New Roman" w:hAnsi="Times New Roman" w:cs="Times New Roman"/>
                <w:sz w:val="22"/>
                <w:lang w:val="en-AU"/>
              </w:rPr>
              <w:t xml:space="preserve"> deployment.</w:t>
            </w:r>
          </w:p>
        </w:tc>
      </w:tr>
      <w:tr w:rsidR="00FD7927" w:rsidRPr="00EE7F84" w14:paraId="4A4558FB" w14:textId="77777777">
        <w:trPr>
          <w:jc w:val="center"/>
        </w:trPr>
        <w:tc>
          <w:tcPr>
            <w:tcW w:w="2268" w:type="dxa"/>
          </w:tcPr>
          <w:p w14:paraId="5CD6AF91"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Testing ARISE</w:t>
            </w:r>
          </w:p>
        </w:tc>
        <w:tc>
          <w:tcPr>
            <w:tcW w:w="2835" w:type="dxa"/>
          </w:tcPr>
          <w:p w14:paraId="331A23C5"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Positioning ARISE through RTA and maturity-model benchmarking</w:t>
            </w:r>
          </w:p>
        </w:tc>
        <w:tc>
          <w:tcPr>
            <w:tcW w:w="3402" w:type="dxa"/>
          </w:tcPr>
          <w:p w14:paraId="0CDB0B18"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Emphasises interpretation, transparency, coherence, and conceptual alignment.</w:t>
            </w:r>
          </w:p>
        </w:tc>
      </w:tr>
      <w:tr w:rsidR="00FD7927" w:rsidRPr="00EE7F84" w14:paraId="17029C6B" w14:textId="77777777">
        <w:trPr>
          <w:jc w:val="center"/>
        </w:trPr>
        <w:tc>
          <w:tcPr>
            <w:tcW w:w="2268" w:type="dxa"/>
          </w:tcPr>
          <w:p w14:paraId="6173770A"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Expected outcomes</w:t>
            </w:r>
          </w:p>
        </w:tc>
        <w:tc>
          <w:tcPr>
            <w:tcW w:w="2835" w:type="dxa"/>
          </w:tcPr>
          <w:p w14:paraId="25AA9D04"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Anticipated interpretive insights</w:t>
            </w:r>
          </w:p>
        </w:tc>
        <w:tc>
          <w:tcPr>
            <w:tcW w:w="3402" w:type="dxa"/>
          </w:tcPr>
          <w:p w14:paraId="1D5668E3"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Recognises that the case supports framework refinement rather than final validation.</w:t>
            </w:r>
          </w:p>
        </w:tc>
      </w:tr>
      <w:tr w:rsidR="00FD7927" w:rsidRPr="00EE7F84" w14:paraId="503869AB" w14:textId="77777777">
        <w:trPr>
          <w:jc w:val="center"/>
        </w:trPr>
        <w:tc>
          <w:tcPr>
            <w:tcW w:w="2268" w:type="dxa"/>
          </w:tcPr>
          <w:p w14:paraId="5A376114"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PoC stages</w:t>
            </w:r>
          </w:p>
        </w:tc>
        <w:tc>
          <w:tcPr>
            <w:tcW w:w="2835" w:type="dxa"/>
          </w:tcPr>
          <w:p w14:paraId="19941C8D"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Case stages and RTA roles</w:t>
            </w:r>
          </w:p>
        </w:tc>
        <w:tc>
          <w:tcPr>
            <w:tcW w:w="3402" w:type="dxa"/>
          </w:tcPr>
          <w:p w14:paraId="6218105B"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Links activities to data collection, coding, theme development, and reflection.</w:t>
            </w:r>
          </w:p>
        </w:tc>
      </w:tr>
      <w:tr w:rsidR="00FD7927" w:rsidRPr="00EE7F84" w14:paraId="563EAE2A" w14:textId="77777777">
        <w:trPr>
          <w:jc w:val="center"/>
        </w:trPr>
        <w:tc>
          <w:tcPr>
            <w:tcW w:w="2268" w:type="dxa"/>
          </w:tcPr>
          <w:p w14:paraId="1F3AB391"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Validation</w:t>
            </w:r>
          </w:p>
        </w:tc>
        <w:tc>
          <w:tcPr>
            <w:tcW w:w="2835" w:type="dxa"/>
          </w:tcPr>
          <w:p w14:paraId="2A07917A"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Future empirical validation</w:t>
            </w:r>
          </w:p>
        </w:tc>
        <w:tc>
          <w:tcPr>
            <w:tcW w:w="3402" w:type="dxa"/>
          </w:tcPr>
          <w:p w14:paraId="7F64B9F3" w14:textId="263D7C6A"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 xml:space="preserve">Separates the current interpretive case from later field testing with </w:t>
            </w:r>
            <w:r w:rsidR="00EC755F">
              <w:rPr>
                <w:rFonts w:ascii="Times New Roman" w:eastAsia="Times New Roman" w:hAnsi="Times New Roman" w:cs="Times New Roman"/>
                <w:sz w:val="22"/>
                <w:lang w:val="en-AU"/>
              </w:rPr>
              <w:t>small businesses</w:t>
            </w:r>
          </w:p>
        </w:tc>
      </w:tr>
    </w:tbl>
    <w:p w14:paraId="3DAC6A15" w14:textId="77777777" w:rsidR="00FD7927" w:rsidRPr="00EE7F84" w:rsidRDefault="00FD7927">
      <w:pPr>
        <w:spacing w:after="40"/>
        <w:rPr>
          <w:lang w:val="en-AU"/>
        </w:rPr>
      </w:pPr>
    </w:p>
    <w:p w14:paraId="1A6E85E4" w14:textId="77777777" w:rsidR="00FD7927" w:rsidRPr="00EE7F84" w:rsidRDefault="00000000" w:rsidP="00EE7F84">
      <w:pPr>
        <w:spacing w:after="160" w:line="240" w:lineRule="auto"/>
        <w:rPr>
          <w:rFonts w:ascii="Times New Roman" w:eastAsia="Times New Roman" w:hAnsi="Times New Roman" w:cs="Times New Roman"/>
          <w:b/>
          <w:bCs/>
          <w:sz w:val="28"/>
          <w:szCs w:val="28"/>
          <w:lang w:val="en-AU" w:eastAsia="zh-CN"/>
        </w:rPr>
      </w:pPr>
      <w:r w:rsidRPr="00EE7F84">
        <w:rPr>
          <w:rFonts w:ascii="Times New Roman" w:eastAsia="Times New Roman" w:hAnsi="Times New Roman" w:cs="Times New Roman"/>
          <w:b/>
          <w:bCs/>
          <w:sz w:val="28"/>
          <w:szCs w:val="28"/>
          <w:lang w:val="en-AU" w:eastAsia="zh-CN"/>
        </w:rPr>
        <w:t>2. Case Organisation</w:t>
      </w:r>
    </w:p>
    <w:p w14:paraId="1D1342A3" w14:textId="7777777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For confidentiality, the business is referred to as Case A. Case A is a micro-sized organisation that supports clients across several industries by helping them understand natural and built environments and improve productivity. The business uses satellite technologies, software tools, and environmental datasets to reveal detailed information about terrestrial and aquatic environments across large geographic areas.</w:t>
      </w:r>
    </w:p>
    <w:p w14:paraId="06F033A5" w14:textId="7777777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Case A combines spatial technologies with environmental science to identify environmental risks, biodiversity patterns, habitat impacts, and landscape opportunities. Its services support policy development, decision-making, spatial analysis, business problem-solving, and future trend prediction. The main stakeholder groups include the founding director, managing director, technical staff involved in artificial intelligence, data science, environmental analysis and software engineering, and clients who depend on reliable access to the organisation’s outputs.</w:t>
      </w:r>
    </w:p>
    <w:p w14:paraId="47F9FEE8" w14:textId="7777777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This organisational profile is useful for ARISE because it reflects a common challenge in specialist micro-businesses. The organisation depends on digital tools and data, but it may not have a dedicated cybersecurity team or Computer Emergency Response Team (CERT). Cybersecurity responsibilities are therefore likely to be distributed across management, technical staff, and external support providers.</w:t>
      </w:r>
    </w:p>
    <w:p w14:paraId="5CB4EC70" w14:textId="77777777" w:rsidR="00FD7927" w:rsidRPr="00EE7F84" w:rsidRDefault="00000000" w:rsidP="00EE7F84">
      <w:pPr>
        <w:spacing w:after="160" w:line="240" w:lineRule="auto"/>
        <w:rPr>
          <w:rFonts w:ascii="Times New Roman" w:eastAsia="Times New Roman" w:hAnsi="Times New Roman" w:cs="Times New Roman"/>
          <w:b/>
          <w:bCs/>
          <w:sz w:val="28"/>
          <w:szCs w:val="28"/>
          <w:lang w:val="en-AU" w:eastAsia="zh-CN"/>
        </w:rPr>
      </w:pPr>
      <w:r w:rsidRPr="00EE7F84">
        <w:rPr>
          <w:rFonts w:ascii="Times New Roman" w:eastAsia="Times New Roman" w:hAnsi="Times New Roman" w:cs="Times New Roman"/>
          <w:b/>
          <w:bCs/>
          <w:sz w:val="28"/>
          <w:szCs w:val="28"/>
          <w:lang w:val="en-AU" w:eastAsia="zh-CN"/>
        </w:rPr>
        <w:t>3. ARISE Framework Context</w:t>
      </w:r>
    </w:p>
    <w:p w14:paraId="23DF5C95" w14:textId="7777777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Agile Resilience in Security for Enterprises (ARISE) is proposed as a cybersecurity resilience framework for small enterprises. It is designed to be platform-independent and sector-independent, allowing it to be adapted to different organisational contexts. Its core principles are adaptability, affordability, and agility. These principles are especially important for businesses with fewer than 20 staff, where cybersecurity improvement must often be achieved within a limited budget and without specialist security personnel.</w:t>
      </w:r>
    </w:p>
    <w:p w14:paraId="4AEF7614" w14:textId="622431E9"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ARISE draws on recognised cybersecurity principles from the NIST Cybersecurity Framework, ISO/IEC 27001, the Australian Essential Eight, and emerging </w:t>
      </w:r>
      <w:r w:rsidR="00EC755F">
        <w:rPr>
          <w:rFonts w:asciiTheme="majorBidi" w:hAnsiTheme="majorBidi" w:cstheme="majorBidi"/>
          <w:sz w:val="24"/>
          <w:szCs w:val="24"/>
          <w:lang w:val="en-AU"/>
        </w:rPr>
        <w:t>small business</w:t>
      </w:r>
      <w:r w:rsidRPr="00EE7F84">
        <w:rPr>
          <w:rFonts w:asciiTheme="majorBidi" w:hAnsiTheme="majorBidi" w:cstheme="majorBidi"/>
          <w:sz w:val="24"/>
          <w:szCs w:val="24"/>
          <w:lang w:val="en-AU"/>
        </w:rPr>
        <w:t>-focused standards such as SMB1001. However, rather than requiring full implementation of enterprise-level standards, ARISE provides a flexible structure that can scale according to organisational size, risk profile, digital maturity, and available resources.</w:t>
      </w:r>
    </w:p>
    <w:p w14:paraId="5F91AEB6" w14:textId="7777777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The initial scope of ARISE includes identifying cybersecurity risks, supporting near real-time intrusion detection, guiding response to cyber incidents, supporting system and software recovery, and reviewing lessons learned so that risks can be redefined in the next cycle. At the initial stage, ARISE does not claim to provide full automation for all technical processes. Instead, it recommends tools, procedures, and decision points that may later be integrated into prevention and detection activities.</w:t>
      </w:r>
    </w:p>
    <w:p w14:paraId="72E866F6" w14:textId="77777777" w:rsidR="00FD7927"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The four ARISE phases, prevention, detection, response, and recovery, are not designed to operate separately. They are applied through an agile process, such as Scrum, where each sprint supports incremental improvement. A sprint may last between two and four weeks depending on the product backlog, team capacity, and organisational priorities. For the practical interpretive case, a four-week sprint cycle is used as the illustrative planning unit.</w:t>
      </w:r>
    </w:p>
    <w:p w14:paraId="6B762DB2" w14:textId="77777777" w:rsidR="00EC755F" w:rsidRDefault="00EC755F" w:rsidP="00EE7F84">
      <w:pPr>
        <w:spacing w:after="80" w:line="259" w:lineRule="auto"/>
        <w:ind w:firstLine="720"/>
        <w:jc w:val="both"/>
        <w:rPr>
          <w:rFonts w:asciiTheme="majorBidi" w:hAnsiTheme="majorBidi" w:cstheme="majorBidi"/>
          <w:sz w:val="24"/>
          <w:szCs w:val="24"/>
          <w:lang w:val="en-AU"/>
        </w:rPr>
      </w:pPr>
    </w:p>
    <w:p w14:paraId="0AB80EB7" w14:textId="77777777" w:rsidR="00EC755F" w:rsidRPr="00EE7F84" w:rsidRDefault="00EC755F" w:rsidP="00EE7F84">
      <w:pPr>
        <w:spacing w:after="80" w:line="259" w:lineRule="auto"/>
        <w:ind w:firstLine="720"/>
        <w:jc w:val="both"/>
        <w:rPr>
          <w:rFonts w:asciiTheme="majorBidi" w:hAnsiTheme="majorBidi" w:cstheme="majorBidi"/>
          <w:sz w:val="24"/>
          <w:szCs w:val="24"/>
          <w:lang w:val="en-AU"/>
        </w:rPr>
      </w:pPr>
    </w:p>
    <w:p w14:paraId="58C2EC51" w14:textId="77777777" w:rsidR="00FD7927" w:rsidRPr="00EE7F84" w:rsidRDefault="00000000" w:rsidP="00EE7F84">
      <w:pPr>
        <w:spacing w:after="160" w:line="240" w:lineRule="auto"/>
        <w:rPr>
          <w:rFonts w:ascii="Times New Roman" w:eastAsia="Times New Roman" w:hAnsi="Times New Roman" w:cs="Times New Roman"/>
          <w:b/>
          <w:bCs/>
          <w:sz w:val="28"/>
          <w:szCs w:val="28"/>
          <w:lang w:val="en-AU" w:eastAsia="zh-CN"/>
        </w:rPr>
      </w:pPr>
      <w:r w:rsidRPr="00EE7F84">
        <w:rPr>
          <w:rFonts w:ascii="Times New Roman" w:eastAsia="Times New Roman" w:hAnsi="Times New Roman" w:cs="Times New Roman"/>
          <w:b/>
          <w:bCs/>
          <w:sz w:val="28"/>
          <w:szCs w:val="28"/>
          <w:lang w:val="en-AU" w:eastAsia="zh-CN"/>
        </w:rPr>
        <w:lastRenderedPageBreak/>
        <w:t>4. Role of the Practical Interpretive Case</w:t>
      </w:r>
    </w:p>
    <w:p w14:paraId="48F0D07E" w14:textId="40CEE244"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The practical interpretive case has three functions. First, it provides a realistic organisational setting in which the ARISE phases can be explained and examined. Second, it creates a basis for collecting qualitative feedback from </w:t>
      </w:r>
      <w:r w:rsidR="00EC755F">
        <w:rPr>
          <w:rFonts w:asciiTheme="majorBidi" w:hAnsiTheme="majorBidi" w:cstheme="majorBidi"/>
          <w:sz w:val="24"/>
          <w:szCs w:val="24"/>
          <w:lang w:val="en-AU"/>
        </w:rPr>
        <w:t>small business</w:t>
      </w:r>
      <w:r w:rsidRPr="00EE7F84">
        <w:rPr>
          <w:rFonts w:asciiTheme="majorBidi" w:hAnsiTheme="majorBidi" w:cstheme="majorBidi"/>
          <w:sz w:val="24"/>
          <w:szCs w:val="24"/>
          <w:lang w:val="en-AU"/>
        </w:rPr>
        <w:t xml:space="preserve"> stakeholders and cybersecurity experts. Third, it supports maturity-model benchmarking by showing how ARISE activities can be compared with recognised cybersecurity practices.</w:t>
      </w:r>
    </w:p>
    <w:p w14:paraId="597B4F48" w14:textId="6CD062BE"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The case should therefore be understood as a methodological bridge. It connects the conceptual development of ARISE with later empirical work. It helps identify which parts of the framework are understandable, which activities may be too technically demanding, which controls are realistic for </w:t>
      </w:r>
      <w:r w:rsidR="00B335BA">
        <w:rPr>
          <w:rFonts w:asciiTheme="majorBidi" w:hAnsiTheme="majorBidi" w:cstheme="majorBidi"/>
          <w:sz w:val="24"/>
          <w:szCs w:val="24"/>
          <w:lang w:val="en-AU"/>
        </w:rPr>
        <w:t>small business</w:t>
      </w:r>
      <w:r w:rsidRPr="00EE7F84">
        <w:rPr>
          <w:rFonts w:asciiTheme="majorBidi" w:hAnsiTheme="majorBidi" w:cstheme="majorBidi"/>
          <w:sz w:val="24"/>
          <w:szCs w:val="24"/>
          <w:lang w:val="en-AU"/>
        </w:rPr>
        <w:t xml:space="preserve"> budgets, and which areas require clearer documentation or support.</w:t>
      </w:r>
      <w:r w:rsidR="00EC755F">
        <w:rPr>
          <w:rFonts w:asciiTheme="majorBidi" w:hAnsiTheme="majorBidi" w:cstheme="majorBidi"/>
          <w:sz w:val="24"/>
          <w:szCs w:val="24"/>
          <w:lang w:val="en-AU"/>
        </w:rPr>
        <w:t xml:space="preserve"> Table 2 lists the functions of the practical interpretive case.</w:t>
      </w:r>
    </w:p>
    <w:p w14:paraId="6A9D715E" w14:textId="77777777" w:rsidR="00FD7927" w:rsidRPr="00EE7F84" w:rsidRDefault="00000000" w:rsidP="00EE7F84">
      <w:pPr>
        <w:pStyle w:val="Caption"/>
        <w:keepNext/>
        <w:jc w:val="center"/>
        <w:rPr>
          <w:rFonts w:ascii="Times New Roman" w:eastAsia="Times New Roman" w:hAnsi="Times New Roman" w:cs="Times New Roman"/>
          <w:b w:val="0"/>
          <w:bCs w:val="0"/>
          <w:color w:val="000000" w:themeColor="text1"/>
          <w:sz w:val="20"/>
          <w:szCs w:val="20"/>
          <w:lang w:val="en-AU" w:eastAsia="zh-CN"/>
        </w:rPr>
      </w:pPr>
      <w:r w:rsidRPr="00EE7F84">
        <w:rPr>
          <w:rFonts w:ascii="Times New Roman" w:eastAsia="Times New Roman" w:hAnsi="Times New Roman" w:cs="Times New Roman"/>
          <w:b w:val="0"/>
          <w:bCs w:val="0"/>
          <w:color w:val="000000" w:themeColor="text1"/>
          <w:sz w:val="20"/>
          <w:szCs w:val="20"/>
          <w:lang w:val="en-AU" w:eastAsia="zh-CN"/>
        </w:rPr>
        <w:t>Table 2. Functions of the practical interpretive case.</w:t>
      </w:r>
    </w:p>
    <w:tbl>
      <w:tblPr>
        <w:tblStyle w:val="TableGrid"/>
        <w:tblW w:w="0" w:type="auto"/>
        <w:jc w:val="center"/>
        <w:tblLook w:val="04A0" w:firstRow="1" w:lastRow="0" w:firstColumn="1" w:lastColumn="0" w:noHBand="0" w:noVBand="1"/>
      </w:tblPr>
      <w:tblGrid>
        <w:gridCol w:w="1984"/>
        <w:gridCol w:w="3288"/>
        <w:gridCol w:w="3231"/>
      </w:tblGrid>
      <w:tr w:rsidR="00FD7927" w:rsidRPr="00EE7F84" w14:paraId="5D510FC4" w14:textId="77777777">
        <w:trPr>
          <w:jc w:val="center"/>
        </w:trPr>
        <w:tc>
          <w:tcPr>
            <w:tcW w:w="1984" w:type="dxa"/>
            <w:shd w:val="clear" w:color="auto" w:fill="D9EAF0"/>
            <w:vAlign w:val="center"/>
          </w:tcPr>
          <w:p w14:paraId="351318C9"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Function</w:t>
            </w:r>
          </w:p>
        </w:tc>
        <w:tc>
          <w:tcPr>
            <w:tcW w:w="3288" w:type="dxa"/>
            <w:shd w:val="clear" w:color="auto" w:fill="D9EAF0"/>
            <w:vAlign w:val="center"/>
          </w:tcPr>
          <w:p w14:paraId="38AAB79A"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Description</w:t>
            </w:r>
          </w:p>
        </w:tc>
        <w:tc>
          <w:tcPr>
            <w:tcW w:w="3231" w:type="dxa"/>
            <w:shd w:val="clear" w:color="auto" w:fill="D9EAF0"/>
            <w:vAlign w:val="center"/>
          </w:tcPr>
          <w:p w14:paraId="08526DF5"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Contribution to ARISE</w:t>
            </w:r>
          </w:p>
        </w:tc>
      </w:tr>
      <w:tr w:rsidR="00FD7927" w:rsidRPr="00EE7F84" w14:paraId="5BC89BA1" w14:textId="77777777">
        <w:trPr>
          <w:jc w:val="center"/>
        </w:trPr>
        <w:tc>
          <w:tcPr>
            <w:tcW w:w="1984" w:type="dxa"/>
          </w:tcPr>
          <w:p w14:paraId="09D6C226"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RTA positioning</w:t>
            </w:r>
          </w:p>
        </w:tc>
        <w:tc>
          <w:tcPr>
            <w:tcW w:w="3288" w:type="dxa"/>
          </w:tcPr>
          <w:p w14:paraId="0EE2ED85"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Provides a setting for collecting and interpreting stakeholder feedback.</w:t>
            </w:r>
          </w:p>
        </w:tc>
        <w:tc>
          <w:tcPr>
            <w:tcW w:w="3231" w:type="dxa"/>
          </w:tcPr>
          <w:p w14:paraId="32BEC642"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Supports coding, theme development, and reflexive refinement.</w:t>
            </w:r>
          </w:p>
        </w:tc>
      </w:tr>
      <w:tr w:rsidR="00FD7927" w:rsidRPr="00EE7F84" w14:paraId="2F33F3A0" w14:textId="77777777">
        <w:trPr>
          <w:jc w:val="center"/>
        </w:trPr>
        <w:tc>
          <w:tcPr>
            <w:tcW w:w="1984" w:type="dxa"/>
          </w:tcPr>
          <w:p w14:paraId="3A075E88"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Maturity-model benchmarking</w:t>
            </w:r>
          </w:p>
        </w:tc>
        <w:tc>
          <w:tcPr>
            <w:tcW w:w="3288" w:type="dxa"/>
          </w:tcPr>
          <w:p w14:paraId="47C26897"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Compares ARISE activities with recognised cybersecurity maturity concepts.</w:t>
            </w:r>
          </w:p>
        </w:tc>
        <w:tc>
          <w:tcPr>
            <w:tcW w:w="3231" w:type="dxa"/>
          </w:tcPr>
          <w:p w14:paraId="083332E3" w14:textId="0CC5FCA5"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 xml:space="preserve">Shows conceptual alignment and </w:t>
            </w:r>
            <w:r w:rsidR="00B335BA">
              <w:rPr>
                <w:rFonts w:ascii="Times New Roman" w:eastAsia="Times New Roman" w:hAnsi="Times New Roman" w:cs="Times New Roman"/>
                <w:sz w:val="22"/>
                <w:lang w:val="en-AU"/>
              </w:rPr>
              <w:t>small business</w:t>
            </w:r>
            <w:r w:rsidRPr="00EE7F84">
              <w:rPr>
                <w:rFonts w:ascii="Times New Roman" w:eastAsia="Times New Roman" w:hAnsi="Times New Roman" w:cs="Times New Roman"/>
                <w:sz w:val="22"/>
                <w:lang w:val="en-AU"/>
              </w:rPr>
              <w:t>-</w:t>
            </w:r>
            <w:r w:rsidR="00B335BA">
              <w:rPr>
                <w:rFonts w:ascii="Times New Roman" w:eastAsia="Times New Roman" w:hAnsi="Times New Roman" w:cs="Times New Roman"/>
                <w:sz w:val="22"/>
                <w:lang w:val="en-AU"/>
              </w:rPr>
              <w:t xml:space="preserve"> </w:t>
            </w:r>
            <w:r w:rsidRPr="00EE7F84">
              <w:rPr>
                <w:rFonts w:ascii="Times New Roman" w:eastAsia="Times New Roman" w:hAnsi="Times New Roman" w:cs="Times New Roman"/>
                <w:sz w:val="22"/>
                <w:lang w:val="en-AU"/>
              </w:rPr>
              <w:t>specific adaptation.</w:t>
            </w:r>
          </w:p>
        </w:tc>
      </w:tr>
      <w:tr w:rsidR="00FD7927" w:rsidRPr="00EE7F84" w14:paraId="74812667" w14:textId="77777777">
        <w:trPr>
          <w:jc w:val="center"/>
        </w:trPr>
        <w:tc>
          <w:tcPr>
            <w:tcW w:w="1984" w:type="dxa"/>
          </w:tcPr>
          <w:p w14:paraId="77160DB3"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Usability assessment</w:t>
            </w:r>
          </w:p>
        </w:tc>
        <w:tc>
          <w:tcPr>
            <w:tcW w:w="3288" w:type="dxa"/>
          </w:tcPr>
          <w:p w14:paraId="24187E4C" w14:textId="0444AA66"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 xml:space="preserve">Explores whether </w:t>
            </w:r>
            <w:r w:rsidR="00B335BA">
              <w:rPr>
                <w:rFonts w:ascii="Times New Roman" w:eastAsia="Times New Roman" w:hAnsi="Times New Roman" w:cs="Times New Roman"/>
                <w:sz w:val="22"/>
                <w:lang w:val="en-AU"/>
              </w:rPr>
              <w:t>small business</w:t>
            </w:r>
            <w:r w:rsidRPr="00EE7F84">
              <w:rPr>
                <w:rFonts w:ascii="Times New Roman" w:eastAsia="Times New Roman" w:hAnsi="Times New Roman" w:cs="Times New Roman"/>
                <w:sz w:val="22"/>
                <w:lang w:val="en-AU"/>
              </w:rPr>
              <w:t xml:space="preserve"> stakeholders can understand and apply the framework.</w:t>
            </w:r>
          </w:p>
        </w:tc>
        <w:tc>
          <w:tcPr>
            <w:tcW w:w="3231" w:type="dxa"/>
          </w:tcPr>
          <w:p w14:paraId="5AB1DD3C"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Identifies documentation, language, and training needs.</w:t>
            </w:r>
          </w:p>
        </w:tc>
      </w:tr>
      <w:tr w:rsidR="00FD7927" w:rsidRPr="00EE7F84" w14:paraId="4C68BA13" w14:textId="77777777">
        <w:trPr>
          <w:jc w:val="center"/>
        </w:trPr>
        <w:tc>
          <w:tcPr>
            <w:tcW w:w="1984" w:type="dxa"/>
          </w:tcPr>
          <w:p w14:paraId="19AB34EE"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Feasibility assessment</w:t>
            </w:r>
          </w:p>
        </w:tc>
        <w:tc>
          <w:tcPr>
            <w:tcW w:w="3288" w:type="dxa"/>
          </w:tcPr>
          <w:p w14:paraId="581A5D82"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Considers cost, effort, staffing, tool use, and implementation barriers.</w:t>
            </w:r>
          </w:p>
        </w:tc>
        <w:tc>
          <w:tcPr>
            <w:tcW w:w="3231" w:type="dxa"/>
          </w:tcPr>
          <w:p w14:paraId="06823645"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Improves realism before live field deployment.</w:t>
            </w:r>
          </w:p>
        </w:tc>
      </w:tr>
      <w:tr w:rsidR="00FD7927" w:rsidRPr="00EE7F84" w14:paraId="0B7AB187" w14:textId="77777777">
        <w:trPr>
          <w:jc w:val="center"/>
        </w:trPr>
        <w:tc>
          <w:tcPr>
            <w:tcW w:w="1984" w:type="dxa"/>
          </w:tcPr>
          <w:p w14:paraId="68B74FE7"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Framework refinement</w:t>
            </w:r>
          </w:p>
        </w:tc>
        <w:tc>
          <w:tcPr>
            <w:tcW w:w="3288" w:type="dxa"/>
          </w:tcPr>
          <w:p w14:paraId="5B814B6D"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Uses interpretive findings to improve ARISE phases, checklists, and guidance.</w:t>
            </w:r>
          </w:p>
        </w:tc>
        <w:tc>
          <w:tcPr>
            <w:tcW w:w="3231" w:type="dxa"/>
          </w:tcPr>
          <w:p w14:paraId="0A376DC4"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Creates a feedback loop for continuous improvement.</w:t>
            </w:r>
          </w:p>
        </w:tc>
      </w:tr>
    </w:tbl>
    <w:p w14:paraId="7CF939CB" w14:textId="77777777" w:rsidR="00FD7927" w:rsidRPr="00EE7F84" w:rsidRDefault="00FD7927">
      <w:pPr>
        <w:spacing w:after="40"/>
        <w:rPr>
          <w:lang w:val="en-AU"/>
        </w:rPr>
      </w:pPr>
    </w:p>
    <w:p w14:paraId="002B11F8" w14:textId="77777777" w:rsidR="00FD7927" w:rsidRPr="00EE7F84" w:rsidRDefault="00000000" w:rsidP="00EE7F84">
      <w:pPr>
        <w:spacing w:after="160" w:line="240" w:lineRule="auto"/>
        <w:rPr>
          <w:rFonts w:ascii="Times New Roman" w:eastAsia="Times New Roman" w:hAnsi="Times New Roman" w:cs="Times New Roman"/>
          <w:b/>
          <w:bCs/>
          <w:sz w:val="28"/>
          <w:szCs w:val="28"/>
          <w:lang w:val="en-AU" w:eastAsia="zh-CN"/>
        </w:rPr>
      </w:pPr>
      <w:r w:rsidRPr="00EE7F84">
        <w:rPr>
          <w:rFonts w:ascii="Times New Roman" w:eastAsia="Times New Roman" w:hAnsi="Times New Roman" w:cs="Times New Roman"/>
          <w:b/>
          <w:bCs/>
          <w:sz w:val="28"/>
          <w:szCs w:val="28"/>
          <w:lang w:val="en-AU" w:eastAsia="zh-CN"/>
        </w:rPr>
        <w:t>5. Case Lifecycle</w:t>
      </w:r>
    </w:p>
    <w:p w14:paraId="0F5CF5E5" w14:textId="77777777" w:rsidR="00FD7927" w:rsidRPr="00EE7F84" w:rsidRDefault="00000000" w:rsidP="00EE7F84">
      <w:pPr>
        <w:spacing w:after="160" w:line="240" w:lineRule="auto"/>
        <w:rPr>
          <w:rFonts w:ascii="Times New Roman" w:eastAsia="Times New Roman" w:hAnsi="Times New Roman" w:cs="Times New Roman"/>
          <w:b/>
          <w:bCs/>
          <w:sz w:val="24"/>
          <w:szCs w:val="24"/>
          <w:lang w:val="en-AU" w:eastAsia="zh-CN"/>
        </w:rPr>
      </w:pPr>
      <w:r w:rsidRPr="00EE7F84">
        <w:rPr>
          <w:rFonts w:ascii="Times New Roman" w:eastAsia="Times New Roman" w:hAnsi="Times New Roman" w:cs="Times New Roman"/>
          <w:b/>
          <w:bCs/>
          <w:sz w:val="24"/>
          <w:szCs w:val="24"/>
          <w:lang w:val="en-AU" w:eastAsia="zh-CN"/>
        </w:rPr>
        <w:t>5.1. Prevention</w:t>
      </w:r>
    </w:p>
    <w:p w14:paraId="7C51F867" w14:textId="7777777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The prevention phase establishes the initial cybersecurity baseline for the organisation. It includes cyber risk management, identification of likely threats, assessment of existing infrastructure, and preparation of mitigation strategies. Collaborative meetings with internal stakeholders are required during this stage. Customers are not included in these initial meetings because the focus is on internal risk identification, organisational readiness, and the preparation of manageable improvement tasks.</w:t>
      </w:r>
    </w:p>
    <w:p w14:paraId="6FB3880C" w14:textId="52E9668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For Case A, the prevention phase is estimated to require approximately four days. This period would allow the organisation to identify, document, and prioritise cyber threats, and to prepare a conceptual mitigation plan. The timeline should be treated as an indicative planning assumption rather than a validated deployment measure.</w:t>
      </w:r>
      <w:r w:rsidR="00EC755F">
        <w:rPr>
          <w:rFonts w:asciiTheme="majorBidi" w:hAnsiTheme="majorBidi" w:cstheme="majorBidi"/>
          <w:sz w:val="24"/>
          <w:szCs w:val="24"/>
          <w:lang w:val="en-AU"/>
        </w:rPr>
        <w:t xml:space="preserve"> Table 3 summarised the prevention activities in the practical interpretive case.</w:t>
      </w:r>
    </w:p>
    <w:p w14:paraId="557737B5" w14:textId="77777777" w:rsidR="00FD7927" w:rsidRPr="00EE7F84" w:rsidRDefault="00000000" w:rsidP="00EE7F84">
      <w:pPr>
        <w:pStyle w:val="Caption"/>
        <w:keepNext/>
        <w:jc w:val="center"/>
        <w:rPr>
          <w:rFonts w:ascii="Times New Roman" w:eastAsia="Times New Roman" w:hAnsi="Times New Roman" w:cs="Times New Roman"/>
          <w:b w:val="0"/>
          <w:bCs w:val="0"/>
          <w:color w:val="000000" w:themeColor="text1"/>
          <w:sz w:val="20"/>
          <w:szCs w:val="20"/>
          <w:lang w:val="en-AU" w:eastAsia="zh-CN"/>
        </w:rPr>
      </w:pPr>
      <w:r w:rsidRPr="00EE7F84">
        <w:rPr>
          <w:rFonts w:ascii="Times New Roman" w:eastAsia="Times New Roman" w:hAnsi="Times New Roman" w:cs="Times New Roman"/>
          <w:b w:val="0"/>
          <w:bCs w:val="0"/>
          <w:color w:val="000000" w:themeColor="text1"/>
          <w:sz w:val="20"/>
          <w:szCs w:val="20"/>
          <w:lang w:val="en-AU" w:eastAsia="zh-CN"/>
        </w:rPr>
        <w:t>Table 3. Prevention activities in the practical interpretive case.</w:t>
      </w:r>
    </w:p>
    <w:tbl>
      <w:tblPr>
        <w:tblStyle w:val="TableGrid"/>
        <w:tblW w:w="0" w:type="auto"/>
        <w:jc w:val="center"/>
        <w:tblLook w:val="04A0" w:firstRow="1" w:lastRow="0" w:firstColumn="1" w:lastColumn="0" w:noHBand="0" w:noVBand="1"/>
      </w:tblPr>
      <w:tblGrid>
        <w:gridCol w:w="2551"/>
        <w:gridCol w:w="5953"/>
      </w:tblGrid>
      <w:tr w:rsidR="00FD7927" w:rsidRPr="00EE7F84" w14:paraId="2E0D54D2" w14:textId="77777777">
        <w:trPr>
          <w:jc w:val="center"/>
        </w:trPr>
        <w:tc>
          <w:tcPr>
            <w:tcW w:w="2551" w:type="dxa"/>
            <w:shd w:val="clear" w:color="auto" w:fill="D9EAF0"/>
            <w:vAlign w:val="center"/>
          </w:tcPr>
          <w:p w14:paraId="59A104A0"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Activity</w:t>
            </w:r>
          </w:p>
        </w:tc>
        <w:tc>
          <w:tcPr>
            <w:tcW w:w="5953" w:type="dxa"/>
            <w:shd w:val="clear" w:color="auto" w:fill="D9EAF0"/>
            <w:vAlign w:val="center"/>
          </w:tcPr>
          <w:p w14:paraId="113B6138"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Estimated effort or purpose</w:t>
            </w:r>
          </w:p>
        </w:tc>
      </w:tr>
      <w:tr w:rsidR="00FD7927" w:rsidRPr="00EE7F84" w14:paraId="67C9F3B3" w14:textId="77777777">
        <w:trPr>
          <w:jc w:val="center"/>
        </w:trPr>
        <w:tc>
          <w:tcPr>
            <w:tcW w:w="2551" w:type="dxa"/>
          </w:tcPr>
          <w:p w14:paraId="507BCDF6"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Whole-system threat analysis</w:t>
            </w:r>
          </w:p>
        </w:tc>
        <w:tc>
          <w:tcPr>
            <w:tcW w:w="5953" w:type="dxa"/>
          </w:tcPr>
          <w:p w14:paraId="38992FC2"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Approximately one day for analysis and one day for reviewing hardware, software, and network infrastructure.</w:t>
            </w:r>
          </w:p>
        </w:tc>
      </w:tr>
      <w:tr w:rsidR="00FD7927" w:rsidRPr="00EE7F84" w14:paraId="6924F0C0" w14:textId="77777777">
        <w:trPr>
          <w:jc w:val="center"/>
        </w:trPr>
        <w:tc>
          <w:tcPr>
            <w:tcW w:w="2551" w:type="dxa"/>
          </w:tcPr>
          <w:p w14:paraId="49970C25"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lastRenderedPageBreak/>
              <w:t>Cyber awareness training</w:t>
            </w:r>
          </w:p>
        </w:tc>
        <w:tc>
          <w:tcPr>
            <w:tcW w:w="5953" w:type="dxa"/>
          </w:tcPr>
          <w:p w14:paraId="42B9B36B"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Duration depends on staff knowledge. Short cyber awareness courses may be used as an initial option.</w:t>
            </w:r>
          </w:p>
        </w:tc>
      </w:tr>
      <w:tr w:rsidR="00FD7927" w:rsidRPr="00EE7F84" w14:paraId="19836F38" w14:textId="77777777">
        <w:trPr>
          <w:jc w:val="center"/>
        </w:trPr>
        <w:tc>
          <w:tcPr>
            <w:tcW w:w="2551" w:type="dxa"/>
          </w:tcPr>
          <w:p w14:paraId="4934F0A2"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Cybersecurity risk analysis</w:t>
            </w:r>
          </w:p>
        </w:tc>
        <w:tc>
          <w:tcPr>
            <w:tcW w:w="5953" w:type="dxa"/>
          </w:tcPr>
          <w:p w14:paraId="0F004C7F"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Approximately one to two days to identify and prioritise organisational risks.</w:t>
            </w:r>
          </w:p>
        </w:tc>
      </w:tr>
      <w:tr w:rsidR="00FD7927" w:rsidRPr="00EE7F84" w14:paraId="137E498B" w14:textId="77777777">
        <w:trPr>
          <w:jc w:val="center"/>
        </w:trPr>
        <w:tc>
          <w:tcPr>
            <w:tcW w:w="2551" w:type="dxa"/>
          </w:tcPr>
          <w:p w14:paraId="624E6AF8"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Supporting tool installation</w:t>
            </w:r>
          </w:p>
        </w:tc>
        <w:tc>
          <w:tcPr>
            <w:tcW w:w="5953" w:type="dxa"/>
          </w:tcPr>
          <w:p w14:paraId="756A8BB3"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 xml:space="preserve">Tools such as Wireshark and </w:t>
            </w:r>
            <w:proofErr w:type="spellStart"/>
            <w:r w:rsidRPr="00EE7F84">
              <w:rPr>
                <w:rFonts w:ascii="Times New Roman" w:eastAsia="Times New Roman" w:hAnsi="Times New Roman" w:cs="Times New Roman"/>
                <w:sz w:val="22"/>
                <w:lang w:val="en-AU"/>
              </w:rPr>
              <w:t>NetworkMiner</w:t>
            </w:r>
            <w:proofErr w:type="spellEnd"/>
            <w:r w:rsidRPr="00EE7F84">
              <w:rPr>
                <w:rFonts w:ascii="Times New Roman" w:eastAsia="Times New Roman" w:hAnsi="Times New Roman" w:cs="Times New Roman"/>
                <w:sz w:val="22"/>
                <w:lang w:val="en-AU"/>
              </w:rPr>
              <w:t xml:space="preserve"> may support network packet collection and conversion. Estimated effort: one to three hours.</w:t>
            </w:r>
          </w:p>
        </w:tc>
      </w:tr>
      <w:tr w:rsidR="00FD7927" w:rsidRPr="00EE7F84" w14:paraId="6236011F" w14:textId="77777777">
        <w:trPr>
          <w:jc w:val="center"/>
        </w:trPr>
        <w:tc>
          <w:tcPr>
            <w:tcW w:w="2551" w:type="dxa"/>
          </w:tcPr>
          <w:p w14:paraId="6ED8022E"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Machine learning tool installation</w:t>
            </w:r>
          </w:p>
        </w:tc>
        <w:tc>
          <w:tcPr>
            <w:tcW w:w="5953" w:type="dxa"/>
          </w:tcPr>
          <w:p w14:paraId="6FD890C0"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Tools such as Weka or Python libraries may support intrusion detection experiments. Estimated effort: one to three hours.</w:t>
            </w:r>
          </w:p>
        </w:tc>
      </w:tr>
      <w:tr w:rsidR="00FD7927" w:rsidRPr="00EE7F84" w14:paraId="63E59AE3" w14:textId="77777777">
        <w:trPr>
          <w:jc w:val="center"/>
        </w:trPr>
        <w:tc>
          <w:tcPr>
            <w:tcW w:w="2551" w:type="dxa"/>
          </w:tcPr>
          <w:p w14:paraId="4CD5E757"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Basic machine learning awareness</w:t>
            </w:r>
          </w:p>
        </w:tc>
        <w:tc>
          <w:tcPr>
            <w:tcW w:w="5953" w:type="dxa"/>
          </w:tcPr>
          <w:p w14:paraId="4518CFB8"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Short introductory training may help staff understand the role and limits of machine learning in intrusion detection.</w:t>
            </w:r>
          </w:p>
        </w:tc>
      </w:tr>
      <w:tr w:rsidR="00FD7927" w:rsidRPr="00EE7F84" w14:paraId="2C93051E" w14:textId="77777777">
        <w:trPr>
          <w:jc w:val="center"/>
        </w:trPr>
        <w:tc>
          <w:tcPr>
            <w:tcW w:w="2551" w:type="dxa"/>
          </w:tcPr>
          <w:p w14:paraId="7A73D685"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Sprint backlog planning</w:t>
            </w:r>
          </w:p>
        </w:tc>
        <w:tc>
          <w:tcPr>
            <w:tcW w:w="5953" w:type="dxa"/>
          </w:tcPr>
          <w:p w14:paraId="48F9A746"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Cybersecurity tasks should be translated into backlog items for the next sprint.</w:t>
            </w:r>
          </w:p>
        </w:tc>
      </w:tr>
      <w:tr w:rsidR="00FD7927" w:rsidRPr="00EE7F84" w14:paraId="270516A8" w14:textId="77777777">
        <w:trPr>
          <w:jc w:val="center"/>
        </w:trPr>
        <w:tc>
          <w:tcPr>
            <w:tcW w:w="2551" w:type="dxa"/>
          </w:tcPr>
          <w:p w14:paraId="1F381DD4"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Penetration test planning</w:t>
            </w:r>
          </w:p>
        </w:tc>
        <w:tc>
          <w:tcPr>
            <w:tcW w:w="5953" w:type="dxa"/>
          </w:tcPr>
          <w:p w14:paraId="46DCFDE5"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Scope depends on staff capability and the complexity of IT and network infrastructure.</w:t>
            </w:r>
          </w:p>
        </w:tc>
      </w:tr>
      <w:tr w:rsidR="00FD7927" w:rsidRPr="00EE7F84" w14:paraId="66F3D6DA" w14:textId="77777777">
        <w:trPr>
          <w:jc w:val="center"/>
        </w:trPr>
        <w:tc>
          <w:tcPr>
            <w:tcW w:w="2551" w:type="dxa"/>
          </w:tcPr>
          <w:p w14:paraId="0942E40E"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Role organisation</w:t>
            </w:r>
          </w:p>
        </w:tc>
        <w:tc>
          <w:tcPr>
            <w:tcW w:w="5953" w:type="dxa"/>
          </w:tcPr>
          <w:p w14:paraId="6633A954"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Staff responsibilities and escalation points should be clarified before the sprint begins.</w:t>
            </w:r>
          </w:p>
        </w:tc>
      </w:tr>
      <w:tr w:rsidR="00FD7927" w:rsidRPr="00EE7F84" w14:paraId="3796C26F" w14:textId="77777777">
        <w:trPr>
          <w:jc w:val="center"/>
        </w:trPr>
        <w:tc>
          <w:tcPr>
            <w:tcW w:w="2551" w:type="dxa"/>
          </w:tcPr>
          <w:p w14:paraId="33865325"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Impediment identification</w:t>
            </w:r>
          </w:p>
        </w:tc>
        <w:tc>
          <w:tcPr>
            <w:tcW w:w="5953" w:type="dxa"/>
          </w:tcPr>
          <w:p w14:paraId="43308623"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Technical, organisational, and resource-related barriers should be identified before execution.</w:t>
            </w:r>
          </w:p>
        </w:tc>
      </w:tr>
      <w:tr w:rsidR="00FD7927" w:rsidRPr="00EE7F84" w14:paraId="50E2D139" w14:textId="77777777">
        <w:trPr>
          <w:jc w:val="center"/>
        </w:trPr>
        <w:tc>
          <w:tcPr>
            <w:tcW w:w="2551" w:type="dxa"/>
          </w:tcPr>
          <w:p w14:paraId="2DADEE5F"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Incident response preparation</w:t>
            </w:r>
          </w:p>
        </w:tc>
        <w:tc>
          <w:tcPr>
            <w:tcW w:w="5953" w:type="dxa"/>
          </w:tcPr>
          <w:p w14:paraId="049E8862"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The organisation should decide how attacks will be handled, including whether malicious IP addresses will be blocked and recorded.</w:t>
            </w:r>
          </w:p>
        </w:tc>
      </w:tr>
      <w:tr w:rsidR="00FD7927" w:rsidRPr="00EE7F84" w14:paraId="7930839D" w14:textId="77777777">
        <w:trPr>
          <w:jc w:val="center"/>
        </w:trPr>
        <w:tc>
          <w:tcPr>
            <w:tcW w:w="2551" w:type="dxa"/>
          </w:tcPr>
          <w:p w14:paraId="28814556"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Standards alignment</w:t>
            </w:r>
          </w:p>
        </w:tc>
        <w:tc>
          <w:tcPr>
            <w:tcW w:w="5953" w:type="dxa"/>
          </w:tcPr>
          <w:p w14:paraId="024DAE9E"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Essential Eight and SMB1001 issues should be reflected in relevant user stories and backlog items.</w:t>
            </w:r>
          </w:p>
        </w:tc>
      </w:tr>
    </w:tbl>
    <w:p w14:paraId="55362249" w14:textId="77777777" w:rsidR="00FD7927" w:rsidRPr="00EE7F84" w:rsidRDefault="00FD7927">
      <w:pPr>
        <w:spacing w:after="40"/>
        <w:rPr>
          <w:lang w:val="en-AU"/>
        </w:rPr>
      </w:pPr>
    </w:p>
    <w:p w14:paraId="18CE2BDB" w14:textId="77777777" w:rsidR="00FD7927" w:rsidRPr="00EE7F84" w:rsidRDefault="00000000" w:rsidP="00EE7F84">
      <w:pPr>
        <w:spacing w:after="160" w:line="240" w:lineRule="auto"/>
        <w:rPr>
          <w:rFonts w:ascii="Times New Roman" w:eastAsia="Times New Roman" w:hAnsi="Times New Roman" w:cs="Times New Roman"/>
          <w:b/>
          <w:bCs/>
          <w:sz w:val="24"/>
          <w:szCs w:val="24"/>
          <w:lang w:val="en-AU" w:eastAsia="zh-CN"/>
        </w:rPr>
      </w:pPr>
      <w:r w:rsidRPr="00EE7F84">
        <w:rPr>
          <w:rFonts w:ascii="Times New Roman" w:eastAsia="Times New Roman" w:hAnsi="Times New Roman" w:cs="Times New Roman"/>
          <w:b/>
          <w:bCs/>
          <w:sz w:val="24"/>
          <w:szCs w:val="24"/>
          <w:lang w:val="en-AU" w:eastAsia="zh-CN"/>
        </w:rPr>
        <w:t>5.2. Detection</w:t>
      </w:r>
    </w:p>
    <w:p w14:paraId="38752229" w14:textId="0FA80538"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The detection phase is closely connected to the wider cyber resilience lifecycle and should not be treated as a standalone activity. Its purpose is to identify suspicious or malicious activity through network monitoring, logging, and machine learning-based analysis. In the practical interpretive case, detection also creates a topic for stakeholder reflection: whether the proposed tools are understandable, affordable, and realistic for the organisation.</w:t>
      </w:r>
      <w:r w:rsidR="00B335BA">
        <w:rPr>
          <w:rFonts w:asciiTheme="majorBidi" w:hAnsiTheme="majorBidi" w:cstheme="majorBidi"/>
          <w:sz w:val="24"/>
          <w:szCs w:val="24"/>
          <w:lang w:val="en-AU"/>
        </w:rPr>
        <w:t xml:space="preserve"> Table 4 lists the detection activities in the practical interpretive case.</w:t>
      </w:r>
    </w:p>
    <w:p w14:paraId="00AC622E" w14:textId="77777777" w:rsidR="00FD7927" w:rsidRPr="00EE7F84" w:rsidRDefault="00000000" w:rsidP="00EE7F84">
      <w:pPr>
        <w:pStyle w:val="Caption"/>
        <w:keepNext/>
        <w:jc w:val="center"/>
        <w:rPr>
          <w:rFonts w:ascii="Times New Roman" w:eastAsia="Times New Roman" w:hAnsi="Times New Roman" w:cs="Times New Roman"/>
          <w:b w:val="0"/>
          <w:bCs w:val="0"/>
          <w:color w:val="000000" w:themeColor="text1"/>
          <w:sz w:val="20"/>
          <w:szCs w:val="20"/>
          <w:lang w:val="en-AU" w:eastAsia="zh-CN"/>
        </w:rPr>
      </w:pPr>
      <w:r w:rsidRPr="00EE7F84">
        <w:rPr>
          <w:rFonts w:ascii="Times New Roman" w:eastAsia="Times New Roman" w:hAnsi="Times New Roman" w:cs="Times New Roman"/>
          <w:b w:val="0"/>
          <w:bCs w:val="0"/>
          <w:color w:val="000000" w:themeColor="text1"/>
          <w:sz w:val="20"/>
          <w:szCs w:val="20"/>
          <w:lang w:val="en-AU" w:eastAsia="zh-CN"/>
        </w:rPr>
        <w:t>Table 4. Detection activities in the practical interpretive case.</w:t>
      </w:r>
    </w:p>
    <w:tbl>
      <w:tblPr>
        <w:tblStyle w:val="TableGrid"/>
        <w:tblW w:w="0" w:type="auto"/>
        <w:jc w:val="center"/>
        <w:tblLook w:val="04A0" w:firstRow="1" w:lastRow="0" w:firstColumn="1" w:lastColumn="0" w:noHBand="0" w:noVBand="1"/>
      </w:tblPr>
      <w:tblGrid>
        <w:gridCol w:w="2835"/>
        <w:gridCol w:w="5669"/>
      </w:tblGrid>
      <w:tr w:rsidR="00FD7927" w:rsidRPr="00EE7F84" w14:paraId="11615C4A" w14:textId="77777777">
        <w:trPr>
          <w:jc w:val="center"/>
        </w:trPr>
        <w:tc>
          <w:tcPr>
            <w:tcW w:w="2835" w:type="dxa"/>
            <w:shd w:val="clear" w:color="auto" w:fill="D9EAF0"/>
            <w:vAlign w:val="center"/>
          </w:tcPr>
          <w:p w14:paraId="703F25AC"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Activity</w:t>
            </w:r>
          </w:p>
        </w:tc>
        <w:tc>
          <w:tcPr>
            <w:tcW w:w="5669" w:type="dxa"/>
            <w:shd w:val="clear" w:color="auto" w:fill="D9EAF0"/>
            <w:vAlign w:val="center"/>
          </w:tcPr>
          <w:p w14:paraId="419522B5"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Purpose</w:t>
            </w:r>
          </w:p>
        </w:tc>
      </w:tr>
      <w:tr w:rsidR="00FD7927" w:rsidRPr="00EE7F84" w14:paraId="3B3EF517" w14:textId="77777777">
        <w:trPr>
          <w:jc w:val="center"/>
        </w:trPr>
        <w:tc>
          <w:tcPr>
            <w:tcW w:w="2835" w:type="dxa"/>
          </w:tcPr>
          <w:p w14:paraId="5F1E30E3"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Network packet collection</w:t>
            </w:r>
          </w:p>
        </w:tc>
        <w:tc>
          <w:tcPr>
            <w:tcW w:w="5669" w:type="dxa"/>
          </w:tcPr>
          <w:p w14:paraId="24466289"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Captures network traffic for later analysis.</w:t>
            </w:r>
          </w:p>
        </w:tc>
      </w:tr>
      <w:tr w:rsidR="00FD7927" w:rsidRPr="00EE7F84" w14:paraId="459EC402" w14:textId="77777777">
        <w:trPr>
          <w:jc w:val="center"/>
        </w:trPr>
        <w:tc>
          <w:tcPr>
            <w:tcW w:w="2835" w:type="dxa"/>
          </w:tcPr>
          <w:p w14:paraId="794D4C98"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Machine learning-based intrusion detection</w:t>
            </w:r>
          </w:p>
        </w:tc>
        <w:tc>
          <w:tcPr>
            <w:tcW w:w="5669" w:type="dxa"/>
          </w:tcPr>
          <w:p w14:paraId="258049DF"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Applies selected algorithms to detect suspicious or malicious traffic patterns.</w:t>
            </w:r>
          </w:p>
        </w:tc>
      </w:tr>
      <w:tr w:rsidR="00FD7927" w:rsidRPr="00EE7F84" w14:paraId="55670D1E" w14:textId="77777777">
        <w:trPr>
          <w:jc w:val="center"/>
        </w:trPr>
        <w:tc>
          <w:tcPr>
            <w:tcW w:w="2835" w:type="dxa"/>
          </w:tcPr>
          <w:p w14:paraId="76D24BF4"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Automation planning</w:t>
            </w:r>
          </w:p>
        </w:tc>
        <w:tc>
          <w:tcPr>
            <w:tcW w:w="5669" w:type="dxa"/>
          </w:tcPr>
          <w:p w14:paraId="7CB8B790"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Supports the future goal of continuous or near-real-time detection.</w:t>
            </w:r>
          </w:p>
        </w:tc>
      </w:tr>
      <w:tr w:rsidR="00FD7927" w:rsidRPr="00EE7F84" w14:paraId="03D80C96" w14:textId="77777777">
        <w:trPr>
          <w:jc w:val="center"/>
        </w:trPr>
        <w:tc>
          <w:tcPr>
            <w:tcW w:w="2835" w:type="dxa"/>
          </w:tcPr>
          <w:p w14:paraId="6D6F10D6"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Monitoring and logging</w:t>
            </w:r>
          </w:p>
        </w:tc>
        <w:tc>
          <w:tcPr>
            <w:tcW w:w="5669" w:type="dxa"/>
          </w:tcPr>
          <w:p w14:paraId="58E5D2E2"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Records detected intrusions and supports later analysis, response, and retrospective learning.</w:t>
            </w:r>
          </w:p>
        </w:tc>
      </w:tr>
    </w:tbl>
    <w:p w14:paraId="126779DD" w14:textId="77777777" w:rsidR="00FD7927" w:rsidRPr="00EE7F84" w:rsidRDefault="00FD7927">
      <w:pPr>
        <w:spacing w:after="40"/>
        <w:rPr>
          <w:lang w:val="en-AU"/>
        </w:rPr>
      </w:pPr>
    </w:p>
    <w:p w14:paraId="26BABC93" w14:textId="77777777" w:rsidR="00FD7927" w:rsidRPr="00EE7F84" w:rsidRDefault="00000000" w:rsidP="00EE7F84">
      <w:pPr>
        <w:spacing w:after="160" w:line="240" w:lineRule="auto"/>
        <w:rPr>
          <w:rFonts w:ascii="Times New Roman" w:eastAsia="Times New Roman" w:hAnsi="Times New Roman" w:cs="Times New Roman"/>
          <w:b/>
          <w:bCs/>
          <w:sz w:val="24"/>
          <w:szCs w:val="24"/>
          <w:lang w:val="en-AU" w:eastAsia="zh-CN"/>
        </w:rPr>
      </w:pPr>
      <w:r w:rsidRPr="00EE7F84">
        <w:rPr>
          <w:rFonts w:ascii="Times New Roman" w:eastAsia="Times New Roman" w:hAnsi="Times New Roman" w:cs="Times New Roman"/>
          <w:b/>
          <w:bCs/>
          <w:sz w:val="24"/>
          <w:szCs w:val="24"/>
          <w:lang w:val="en-AU" w:eastAsia="zh-CN"/>
        </w:rPr>
        <w:t>5.3. Response</w:t>
      </w:r>
    </w:p>
    <w:p w14:paraId="64E10A19" w14:textId="55E7EACE"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The response phase depends on decisions made during prevention planning. A response process should be defined before an incident occurs because delayed decision-making during an attack may increase operational, financial, and reputational damage. In the RTA framing, response activities also provide useful feedback about clarity of roles, communication pathways, and the practicality of response playbooks.</w:t>
      </w:r>
      <w:r w:rsidR="00B335BA">
        <w:rPr>
          <w:rFonts w:asciiTheme="majorBidi" w:hAnsiTheme="majorBidi" w:cstheme="majorBidi"/>
          <w:sz w:val="24"/>
          <w:szCs w:val="24"/>
          <w:lang w:val="en-AU"/>
        </w:rPr>
        <w:t xml:space="preserve"> Table 5 includes the response activities in the practical interpretive case.</w:t>
      </w:r>
    </w:p>
    <w:p w14:paraId="284D51DA" w14:textId="77777777" w:rsidR="00FD7927" w:rsidRPr="00EE7F84" w:rsidRDefault="00000000" w:rsidP="00EE7F84">
      <w:pPr>
        <w:pStyle w:val="Caption"/>
        <w:keepNext/>
        <w:jc w:val="center"/>
        <w:rPr>
          <w:rFonts w:ascii="Times New Roman" w:eastAsia="Times New Roman" w:hAnsi="Times New Roman" w:cs="Times New Roman"/>
          <w:b w:val="0"/>
          <w:bCs w:val="0"/>
          <w:color w:val="000000" w:themeColor="text1"/>
          <w:sz w:val="20"/>
          <w:szCs w:val="20"/>
          <w:lang w:val="en-AU" w:eastAsia="zh-CN"/>
        </w:rPr>
      </w:pPr>
      <w:r w:rsidRPr="00EE7F84">
        <w:rPr>
          <w:rFonts w:ascii="Times New Roman" w:eastAsia="Times New Roman" w:hAnsi="Times New Roman" w:cs="Times New Roman"/>
          <w:b w:val="0"/>
          <w:bCs w:val="0"/>
          <w:color w:val="000000" w:themeColor="text1"/>
          <w:sz w:val="20"/>
          <w:szCs w:val="20"/>
          <w:lang w:val="en-AU" w:eastAsia="zh-CN"/>
        </w:rPr>
        <w:lastRenderedPageBreak/>
        <w:t>Table 5. Response activities in the practical interpretive case.</w:t>
      </w:r>
    </w:p>
    <w:tbl>
      <w:tblPr>
        <w:tblStyle w:val="TableGrid"/>
        <w:tblW w:w="0" w:type="auto"/>
        <w:jc w:val="center"/>
        <w:tblLook w:val="04A0" w:firstRow="1" w:lastRow="0" w:firstColumn="1" w:lastColumn="0" w:noHBand="0" w:noVBand="1"/>
      </w:tblPr>
      <w:tblGrid>
        <w:gridCol w:w="2835"/>
        <w:gridCol w:w="5669"/>
      </w:tblGrid>
      <w:tr w:rsidR="00FD7927" w:rsidRPr="00EE7F84" w14:paraId="0773A043" w14:textId="77777777">
        <w:trPr>
          <w:jc w:val="center"/>
        </w:trPr>
        <w:tc>
          <w:tcPr>
            <w:tcW w:w="2835" w:type="dxa"/>
            <w:shd w:val="clear" w:color="auto" w:fill="D9EAF0"/>
            <w:vAlign w:val="center"/>
          </w:tcPr>
          <w:p w14:paraId="3949D9D5"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Activity</w:t>
            </w:r>
          </w:p>
        </w:tc>
        <w:tc>
          <w:tcPr>
            <w:tcW w:w="5669" w:type="dxa"/>
            <w:shd w:val="clear" w:color="auto" w:fill="D9EAF0"/>
            <w:vAlign w:val="center"/>
          </w:tcPr>
          <w:p w14:paraId="61369EB6"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Purpose</w:t>
            </w:r>
          </w:p>
        </w:tc>
      </w:tr>
      <w:tr w:rsidR="00FD7927" w:rsidRPr="00EE7F84" w14:paraId="26A7388F" w14:textId="77777777">
        <w:trPr>
          <w:jc w:val="center"/>
        </w:trPr>
        <w:tc>
          <w:tcPr>
            <w:tcW w:w="2835" w:type="dxa"/>
          </w:tcPr>
          <w:p w14:paraId="79D7CC47"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Blocking malicious IP addresses</w:t>
            </w:r>
          </w:p>
        </w:tc>
        <w:tc>
          <w:tcPr>
            <w:tcW w:w="5669" w:type="dxa"/>
          </w:tcPr>
          <w:p w14:paraId="66C4CADC"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Prevents further access from identified malicious sources where technically and legally appropriate.</w:t>
            </w:r>
          </w:p>
        </w:tc>
      </w:tr>
      <w:tr w:rsidR="00FD7927" w:rsidRPr="00EE7F84" w14:paraId="58AEA376" w14:textId="77777777">
        <w:trPr>
          <w:jc w:val="center"/>
        </w:trPr>
        <w:tc>
          <w:tcPr>
            <w:tcW w:w="2835" w:type="dxa"/>
          </w:tcPr>
          <w:p w14:paraId="7831893B"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Maintaining a blacklist database</w:t>
            </w:r>
          </w:p>
        </w:tc>
        <w:tc>
          <w:tcPr>
            <w:tcW w:w="5669" w:type="dxa"/>
          </w:tcPr>
          <w:p w14:paraId="1F6AA0FC"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Stores attacker IP addresses or indicators of compromise for future reference.</w:t>
            </w:r>
          </w:p>
        </w:tc>
      </w:tr>
      <w:tr w:rsidR="00FD7927" w:rsidRPr="00EE7F84" w14:paraId="5D00E060" w14:textId="77777777">
        <w:trPr>
          <w:jc w:val="center"/>
        </w:trPr>
        <w:tc>
          <w:tcPr>
            <w:tcW w:w="2835" w:type="dxa"/>
          </w:tcPr>
          <w:p w14:paraId="3EC1BD62"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Informing legal authorities</w:t>
            </w:r>
          </w:p>
        </w:tc>
        <w:tc>
          <w:tcPr>
            <w:tcW w:w="5669" w:type="dxa"/>
          </w:tcPr>
          <w:p w14:paraId="298B3870"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Supports compliance with legal or regulatory obligations where required.</w:t>
            </w:r>
          </w:p>
        </w:tc>
      </w:tr>
      <w:tr w:rsidR="00FD7927" w:rsidRPr="00EE7F84" w14:paraId="3D274179" w14:textId="77777777">
        <w:trPr>
          <w:jc w:val="center"/>
        </w:trPr>
        <w:tc>
          <w:tcPr>
            <w:tcW w:w="2835" w:type="dxa"/>
          </w:tcPr>
          <w:p w14:paraId="05ACABDA"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Informing customers</w:t>
            </w:r>
          </w:p>
        </w:tc>
        <w:tc>
          <w:tcPr>
            <w:tcW w:w="5669" w:type="dxa"/>
          </w:tcPr>
          <w:p w14:paraId="4C499007"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 xml:space="preserve">Provides transparency </w:t>
            </w:r>
            <w:proofErr w:type="gramStart"/>
            <w:r w:rsidRPr="00EE7F84">
              <w:rPr>
                <w:rFonts w:ascii="Times New Roman" w:eastAsia="Times New Roman" w:hAnsi="Times New Roman" w:cs="Times New Roman"/>
                <w:sz w:val="22"/>
                <w:lang w:val="en-AU"/>
              </w:rPr>
              <w:t>where</w:t>
            </w:r>
            <w:proofErr w:type="gramEnd"/>
            <w:r w:rsidRPr="00EE7F84">
              <w:rPr>
                <w:rFonts w:ascii="Times New Roman" w:eastAsia="Times New Roman" w:hAnsi="Times New Roman" w:cs="Times New Roman"/>
                <w:sz w:val="22"/>
                <w:lang w:val="en-AU"/>
              </w:rPr>
              <w:t xml:space="preserve"> customer data, services, or trust may be affected.</w:t>
            </w:r>
          </w:p>
        </w:tc>
      </w:tr>
      <w:tr w:rsidR="00FD7927" w:rsidRPr="00EE7F84" w14:paraId="7D523985" w14:textId="77777777">
        <w:trPr>
          <w:jc w:val="center"/>
        </w:trPr>
        <w:tc>
          <w:tcPr>
            <w:tcW w:w="2835" w:type="dxa"/>
          </w:tcPr>
          <w:p w14:paraId="26078C23"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Avoiding counterattacks</w:t>
            </w:r>
          </w:p>
        </w:tc>
        <w:tc>
          <w:tcPr>
            <w:tcW w:w="5669" w:type="dxa"/>
          </w:tcPr>
          <w:p w14:paraId="0A97D1A4"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Retaliatory activity is not recommended due to ethical and legal risks.</w:t>
            </w:r>
          </w:p>
        </w:tc>
      </w:tr>
      <w:tr w:rsidR="00FD7927" w:rsidRPr="00EE7F84" w14:paraId="01C2EE8D" w14:textId="77777777">
        <w:trPr>
          <w:jc w:val="center"/>
        </w:trPr>
        <w:tc>
          <w:tcPr>
            <w:tcW w:w="2835" w:type="dxa"/>
          </w:tcPr>
          <w:p w14:paraId="5675A551"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Communicating with cloud providers</w:t>
            </w:r>
          </w:p>
        </w:tc>
        <w:tc>
          <w:tcPr>
            <w:tcW w:w="5669" w:type="dxa"/>
          </w:tcPr>
          <w:p w14:paraId="7A53F3F5"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If AWS, Microsoft Azure, or another cloud provider is used, provider support teams may need to be contacted during an incident.</w:t>
            </w:r>
          </w:p>
        </w:tc>
      </w:tr>
    </w:tbl>
    <w:p w14:paraId="2E4643F5" w14:textId="77777777" w:rsidR="00FD7927" w:rsidRPr="00EE7F84" w:rsidRDefault="00FD7927">
      <w:pPr>
        <w:spacing w:after="40"/>
        <w:rPr>
          <w:lang w:val="en-AU"/>
        </w:rPr>
      </w:pPr>
    </w:p>
    <w:p w14:paraId="58A9D257" w14:textId="77777777" w:rsidR="00FD7927" w:rsidRPr="00EE7F84" w:rsidRDefault="00000000" w:rsidP="00EE7F84">
      <w:pPr>
        <w:spacing w:after="160" w:line="240" w:lineRule="auto"/>
        <w:rPr>
          <w:rFonts w:ascii="Times New Roman" w:eastAsia="Times New Roman" w:hAnsi="Times New Roman" w:cs="Times New Roman"/>
          <w:b/>
          <w:bCs/>
          <w:sz w:val="24"/>
          <w:szCs w:val="24"/>
          <w:lang w:val="en-AU" w:eastAsia="zh-CN"/>
        </w:rPr>
      </w:pPr>
      <w:r w:rsidRPr="00EE7F84">
        <w:rPr>
          <w:rFonts w:ascii="Times New Roman" w:eastAsia="Times New Roman" w:hAnsi="Times New Roman" w:cs="Times New Roman"/>
          <w:b/>
          <w:bCs/>
          <w:sz w:val="24"/>
          <w:szCs w:val="24"/>
          <w:lang w:val="en-AU" w:eastAsia="zh-CN"/>
        </w:rPr>
        <w:t>5.4. Recovery</w:t>
      </w:r>
    </w:p>
    <w:p w14:paraId="05F73744" w14:textId="6B473C2F"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The recovery phase focuses on restoring affected systems, reducing business disruption, and learning from the incident. It includes technical recovery, communication, and reassessment of cybersecurity risks. In ARISE, recovery is not only a technical phase. It also provides the retrospective material required for organisational learning and framework refinement.</w:t>
      </w:r>
      <w:r w:rsidR="00B335BA">
        <w:rPr>
          <w:rFonts w:asciiTheme="majorBidi" w:hAnsiTheme="majorBidi" w:cstheme="majorBidi"/>
          <w:sz w:val="24"/>
          <w:szCs w:val="24"/>
          <w:lang w:val="en-AU"/>
        </w:rPr>
        <w:t xml:space="preserve"> Table 6 shows the crucial recovery activities in the practical interpretive case.</w:t>
      </w:r>
    </w:p>
    <w:p w14:paraId="780FCF24" w14:textId="77777777" w:rsidR="00FD7927" w:rsidRPr="00EE7F84" w:rsidRDefault="00000000" w:rsidP="00EE7F84">
      <w:pPr>
        <w:pStyle w:val="Caption"/>
        <w:keepNext/>
        <w:jc w:val="center"/>
        <w:rPr>
          <w:lang w:val="en-AU"/>
        </w:rPr>
      </w:pPr>
      <w:r w:rsidRPr="00EE7F84">
        <w:rPr>
          <w:rFonts w:ascii="Times New Roman" w:eastAsia="Times New Roman" w:hAnsi="Times New Roman" w:cs="Times New Roman"/>
          <w:b w:val="0"/>
          <w:bCs w:val="0"/>
          <w:color w:val="000000" w:themeColor="text1"/>
          <w:sz w:val="20"/>
          <w:szCs w:val="20"/>
          <w:lang w:val="en-AU" w:eastAsia="zh-CN"/>
        </w:rPr>
        <w:t>Table 6. Recovery activities in the practical interpretive case.</w:t>
      </w:r>
    </w:p>
    <w:tbl>
      <w:tblPr>
        <w:tblStyle w:val="TableGrid"/>
        <w:tblW w:w="0" w:type="auto"/>
        <w:jc w:val="center"/>
        <w:tblLook w:val="04A0" w:firstRow="1" w:lastRow="0" w:firstColumn="1" w:lastColumn="0" w:noHBand="0" w:noVBand="1"/>
      </w:tblPr>
      <w:tblGrid>
        <w:gridCol w:w="2835"/>
        <w:gridCol w:w="5669"/>
      </w:tblGrid>
      <w:tr w:rsidR="00FD7927" w:rsidRPr="00EE7F84" w14:paraId="6DF77C1B" w14:textId="77777777">
        <w:trPr>
          <w:jc w:val="center"/>
        </w:trPr>
        <w:tc>
          <w:tcPr>
            <w:tcW w:w="2835" w:type="dxa"/>
            <w:shd w:val="clear" w:color="auto" w:fill="D9EAF0"/>
            <w:vAlign w:val="center"/>
          </w:tcPr>
          <w:p w14:paraId="118A9510"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Activity</w:t>
            </w:r>
          </w:p>
        </w:tc>
        <w:tc>
          <w:tcPr>
            <w:tcW w:w="5669" w:type="dxa"/>
            <w:shd w:val="clear" w:color="auto" w:fill="D9EAF0"/>
            <w:vAlign w:val="center"/>
          </w:tcPr>
          <w:p w14:paraId="0C853964"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Purpose</w:t>
            </w:r>
          </w:p>
        </w:tc>
      </w:tr>
      <w:tr w:rsidR="00FD7927" w:rsidRPr="00EE7F84" w14:paraId="0245728F" w14:textId="77777777">
        <w:trPr>
          <w:jc w:val="center"/>
        </w:trPr>
        <w:tc>
          <w:tcPr>
            <w:tcW w:w="2835" w:type="dxa"/>
          </w:tcPr>
          <w:p w14:paraId="4A60FC4A"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System recovery</w:t>
            </w:r>
          </w:p>
        </w:tc>
        <w:tc>
          <w:tcPr>
            <w:tcW w:w="5669" w:type="dxa"/>
          </w:tcPr>
          <w:p w14:paraId="05BB6CB1"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Restores affected systems to a secure operational state.</w:t>
            </w:r>
          </w:p>
        </w:tc>
      </w:tr>
      <w:tr w:rsidR="00FD7927" w:rsidRPr="00EE7F84" w14:paraId="7EBF9EC4" w14:textId="77777777">
        <w:trPr>
          <w:jc w:val="center"/>
        </w:trPr>
        <w:tc>
          <w:tcPr>
            <w:tcW w:w="2835" w:type="dxa"/>
          </w:tcPr>
          <w:p w14:paraId="3D488A87"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Software recovery</w:t>
            </w:r>
          </w:p>
        </w:tc>
        <w:tc>
          <w:tcPr>
            <w:tcW w:w="5669" w:type="dxa"/>
          </w:tcPr>
          <w:p w14:paraId="22F727D3"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Uses clean software versions, snapshots, or backups to restore affected applications.</w:t>
            </w:r>
          </w:p>
        </w:tc>
      </w:tr>
      <w:tr w:rsidR="00FD7927" w:rsidRPr="00EE7F84" w14:paraId="60BB0028" w14:textId="77777777">
        <w:trPr>
          <w:jc w:val="center"/>
        </w:trPr>
        <w:tc>
          <w:tcPr>
            <w:tcW w:w="2835" w:type="dxa"/>
          </w:tcPr>
          <w:p w14:paraId="183AD298"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Hardware replacement</w:t>
            </w:r>
          </w:p>
        </w:tc>
        <w:tc>
          <w:tcPr>
            <w:tcW w:w="5669" w:type="dxa"/>
          </w:tcPr>
          <w:p w14:paraId="23ADE1C5"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Replaces physically damaged or compromised hardware where required.</w:t>
            </w:r>
          </w:p>
        </w:tc>
      </w:tr>
      <w:tr w:rsidR="00FD7927" w:rsidRPr="00EE7F84" w14:paraId="565BED30" w14:textId="77777777">
        <w:trPr>
          <w:jc w:val="center"/>
        </w:trPr>
        <w:tc>
          <w:tcPr>
            <w:tcW w:w="2835" w:type="dxa"/>
          </w:tcPr>
          <w:p w14:paraId="0101E437"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Cloud environment restoration</w:t>
            </w:r>
          </w:p>
        </w:tc>
        <w:tc>
          <w:tcPr>
            <w:tcW w:w="5669" w:type="dxa"/>
          </w:tcPr>
          <w:p w14:paraId="409CB1C0"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Restores or redesigns cloud or hybrid environments if affected by the incident.</w:t>
            </w:r>
          </w:p>
        </w:tc>
      </w:tr>
      <w:tr w:rsidR="00FD7927" w:rsidRPr="00EE7F84" w14:paraId="6DBB9D71" w14:textId="77777777">
        <w:trPr>
          <w:jc w:val="center"/>
        </w:trPr>
        <w:tc>
          <w:tcPr>
            <w:tcW w:w="2835" w:type="dxa"/>
          </w:tcPr>
          <w:p w14:paraId="1FA738F6"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Customer communication</w:t>
            </w:r>
          </w:p>
        </w:tc>
        <w:tc>
          <w:tcPr>
            <w:tcW w:w="5669" w:type="dxa"/>
          </w:tcPr>
          <w:p w14:paraId="6D40E5C5"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Informs customers when systems are safe and operational again.</w:t>
            </w:r>
          </w:p>
        </w:tc>
      </w:tr>
      <w:tr w:rsidR="00FD7927" w:rsidRPr="00EE7F84" w14:paraId="15881AAD" w14:textId="77777777">
        <w:trPr>
          <w:jc w:val="center"/>
        </w:trPr>
        <w:tc>
          <w:tcPr>
            <w:tcW w:w="2835" w:type="dxa"/>
          </w:tcPr>
          <w:p w14:paraId="5193E106"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Retrospective meeting</w:t>
            </w:r>
          </w:p>
        </w:tc>
        <w:tc>
          <w:tcPr>
            <w:tcW w:w="5669" w:type="dxa"/>
          </w:tcPr>
          <w:p w14:paraId="312C8F74"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Reviews lessons learned with staff and stakeholders.</w:t>
            </w:r>
          </w:p>
        </w:tc>
      </w:tr>
      <w:tr w:rsidR="00FD7927" w:rsidRPr="00EE7F84" w14:paraId="25A2578E" w14:textId="77777777">
        <w:trPr>
          <w:jc w:val="center"/>
        </w:trPr>
        <w:tc>
          <w:tcPr>
            <w:tcW w:w="2835" w:type="dxa"/>
          </w:tcPr>
          <w:p w14:paraId="217427E8"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Risk reassessment</w:t>
            </w:r>
          </w:p>
        </w:tc>
        <w:tc>
          <w:tcPr>
            <w:tcW w:w="5669" w:type="dxa"/>
          </w:tcPr>
          <w:p w14:paraId="002BA695"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Identifies cybersecurity risks for the next sprint using previous findings and threat analysis.</w:t>
            </w:r>
          </w:p>
        </w:tc>
      </w:tr>
      <w:tr w:rsidR="00FD7927" w:rsidRPr="00EE7F84" w14:paraId="0FE30C12" w14:textId="77777777">
        <w:trPr>
          <w:jc w:val="center"/>
        </w:trPr>
        <w:tc>
          <w:tcPr>
            <w:tcW w:w="2835" w:type="dxa"/>
          </w:tcPr>
          <w:p w14:paraId="6005A99E"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Discussion of findings</w:t>
            </w:r>
          </w:p>
        </w:tc>
        <w:tc>
          <w:tcPr>
            <w:tcW w:w="5669" w:type="dxa"/>
          </w:tcPr>
          <w:p w14:paraId="5449021E"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Supports continuous improvement of ARISE and organisational resilience.</w:t>
            </w:r>
          </w:p>
        </w:tc>
      </w:tr>
    </w:tbl>
    <w:p w14:paraId="1452D9D8" w14:textId="77777777" w:rsidR="00FD7927" w:rsidRPr="00EE7F84" w:rsidRDefault="00FD7927">
      <w:pPr>
        <w:spacing w:after="40"/>
        <w:rPr>
          <w:lang w:val="en-AU"/>
        </w:rPr>
      </w:pPr>
    </w:p>
    <w:p w14:paraId="497BFC00" w14:textId="77777777" w:rsidR="00FD7927" w:rsidRPr="00EE7F84" w:rsidRDefault="00000000" w:rsidP="00EE7F84">
      <w:pPr>
        <w:spacing w:after="160" w:line="240" w:lineRule="auto"/>
        <w:rPr>
          <w:lang w:val="en-AU"/>
        </w:rPr>
      </w:pPr>
      <w:r w:rsidRPr="00EE7F84">
        <w:rPr>
          <w:rFonts w:ascii="Times New Roman" w:eastAsia="Times New Roman" w:hAnsi="Times New Roman" w:cs="Times New Roman"/>
          <w:b/>
          <w:bCs/>
          <w:sz w:val="28"/>
          <w:szCs w:val="28"/>
          <w:lang w:val="en-AU" w:eastAsia="zh-CN"/>
        </w:rPr>
        <w:t>6. Anticipated Interpretive Insights</w:t>
      </w:r>
    </w:p>
    <w:p w14:paraId="347F5F3F" w14:textId="4132EEE2"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The practical interpretive case has not yet been tested in a live </w:t>
      </w:r>
      <w:r w:rsidR="00B335BA">
        <w:rPr>
          <w:rFonts w:asciiTheme="majorBidi" w:hAnsiTheme="majorBidi" w:cstheme="majorBidi"/>
          <w:sz w:val="24"/>
          <w:szCs w:val="24"/>
          <w:lang w:val="en-AU"/>
        </w:rPr>
        <w:t>small business</w:t>
      </w:r>
      <w:r w:rsidRPr="00EE7F84">
        <w:rPr>
          <w:rFonts w:asciiTheme="majorBidi" w:hAnsiTheme="majorBidi" w:cstheme="majorBidi"/>
          <w:sz w:val="24"/>
          <w:szCs w:val="24"/>
          <w:lang w:val="en-AU"/>
        </w:rPr>
        <w:t xml:space="preserve"> environment. However, anticipated insights can be developed from previous IT and cybersecurity project experience. A large-scale example from the German Federal Employment Agency provides a reference point, although it differs substantially from a </w:t>
      </w:r>
      <w:r w:rsidR="00B335BA">
        <w:rPr>
          <w:rFonts w:asciiTheme="majorBidi" w:hAnsiTheme="majorBidi" w:cstheme="majorBidi"/>
          <w:sz w:val="24"/>
          <w:szCs w:val="24"/>
          <w:lang w:val="en-AU"/>
        </w:rPr>
        <w:t>small business</w:t>
      </w:r>
      <w:r w:rsidRPr="00EE7F84">
        <w:rPr>
          <w:rFonts w:asciiTheme="majorBidi" w:hAnsiTheme="majorBidi" w:cstheme="majorBidi"/>
          <w:sz w:val="24"/>
          <w:szCs w:val="24"/>
          <w:lang w:val="en-AU"/>
        </w:rPr>
        <w:t xml:space="preserve"> environment. The comparison should therefore be used cautiously and only to support planning assumptions.</w:t>
      </w:r>
    </w:p>
    <w:p w14:paraId="1575C629" w14:textId="782D269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Between 2009 and 2018, a large European project aimed to digitalise document traffic between employment agencies across the European Union. The project operated in a highly complex </w:t>
      </w:r>
      <w:r w:rsidRPr="00EE7F84">
        <w:rPr>
          <w:rFonts w:asciiTheme="majorBidi" w:hAnsiTheme="majorBidi" w:cstheme="majorBidi"/>
          <w:sz w:val="24"/>
          <w:szCs w:val="24"/>
          <w:lang w:val="en-AU"/>
        </w:rPr>
        <w:lastRenderedPageBreak/>
        <w:t xml:space="preserve">environment with ISO/IEC 27001 certification, an internal CERT, a dedicated IT security team, security audits, governance procedures, and staff with stronger cybersecurity awareness. Although this environment is far more mature than a typical </w:t>
      </w:r>
      <w:r w:rsidR="00B335BA">
        <w:rPr>
          <w:rFonts w:asciiTheme="majorBidi" w:hAnsiTheme="majorBidi" w:cstheme="majorBidi"/>
          <w:sz w:val="24"/>
          <w:szCs w:val="24"/>
          <w:lang w:val="en-AU"/>
        </w:rPr>
        <w:t>small business</w:t>
      </w:r>
      <w:r w:rsidRPr="00EE7F84">
        <w:rPr>
          <w:rFonts w:asciiTheme="majorBidi" w:hAnsiTheme="majorBidi" w:cstheme="majorBidi"/>
          <w:sz w:val="24"/>
          <w:szCs w:val="24"/>
          <w:lang w:val="en-AU"/>
        </w:rPr>
        <w:t>, it provides useful insight into deployment, attack simulation, and resilience improvement activities.</w:t>
      </w:r>
    </w:p>
    <w:p w14:paraId="623FD74D" w14:textId="6169766E"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In that project, deployment to a pre-production environment required approximately three hours. The system was a complex monolithic application using a three-tier architecture, with data and development hosted on premises. In a </w:t>
      </w:r>
      <w:r w:rsidR="00B335BA">
        <w:rPr>
          <w:rFonts w:asciiTheme="majorBidi" w:hAnsiTheme="majorBidi" w:cstheme="majorBidi"/>
          <w:sz w:val="24"/>
          <w:szCs w:val="24"/>
          <w:lang w:val="en-AU"/>
        </w:rPr>
        <w:t>small business</w:t>
      </w:r>
      <w:r w:rsidRPr="00EE7F84">
        <w:rPr>
          <w:rFonts w:asciiTheme="majorBidi" w:hAnsiTheme="majorBidi" w:cstheme="majorBidi"/>
          <w:sz w:val="24"/>
          <w:szCs w:val="24"/>
          <w:lang w:val="en-AU"/>
        </w:rPr>
        <w:t xml:space="preserve"> context, deployment may require less time, depending on software architecture, development environment, server model, and whether infrastructure is on premises, cloud-based, hybrid, or serverless.</w:t>
      </w:r>
    </w:p>
    <w:p w14:paraId="46339EF5" w14:textId="5A975B98"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Attack simulation required approximately six hours and involved three penetration testers from the internal IT security team. For </w:t>
      </w:r>
      <w:r w:rsidR="00B335BA">
        <w:rPr>
          <w:rFonts w:asciiTheme="majorBidi" w:hAnsiTheme="majorBidi" w:cstheme="majorBidi"/>
          <w:sz w:val="24"/>
          <w:szCs w:val="24"/>
          <w:lang w:val="en-AU"/>
        </w:rPr>
        <w:t>small businesses</w:t>
      </w:r>
      <w:r w:rsidRPr="00EE7F84">
        <w:rPr>
          <w:rFonts w:asciiTheme="majorBidi" w:hAnsiTheme="majorBidi" w:cstheme="majorBidi"/>
          <w:sz w:val="24"/>
          <w:szCs w:val="24"/>
          <w:lang w:val="en-AU"/>
        </w:rPr>
        <w:t>, this activity would normally require support from an external cybersecurity specialist. Cost may be a significant barrier, particularly for organisations that allocate very limited annual budgets to cybersecurity. AI-supported attack simulation tools may therefore become a practical option for future ARISE implementation, although such tools would still require careful validation, ethical boundaries, and expert oversight.</w:t>
      </w:r>
    </w:p>
    <w:p w14:paraId="4565EBC1" w14:textId="01D63E1E"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Cyber resilience improvement in the large-scale project was managed through a four-week sprint cycle. Cyber resilience standards were reviewed at the beginning of the process, and risks were identified within approximately one day. After each sprint, these standards were reassessed. In that case, six sprints were required to meet the defined resilience standards, resulting in an improvement period of approximately 24 weeks. For </w:t>
      </w:r>
      <w:r w:rsidR="00B335BA">
        <w:rPr>
          <w:rFonts w:asciiTheme="majorBidi" w:hAnsiTheme="majorBidi" w:cstheme="majorBidi"/>
          <w:sz w:val="24"/>
          <w:szCs w:val="24"/>
          <w:lang w:val="en-AU"/>
        </w:rPr>
        <w:t>small businesses</w:t>
      </w:r>
      <w:r w:rsidRPr="00EE7F84">
        <w:rPr>
          <w:rFonts w:asciiTheme="majorBidi" w:hAnsiTheme="majorBidi" w:cstheme="majorBidi"/>
          <w:sz w:val="24"/>
          <w:szCs w:val="24"/>
          <w:lang w:val="en-AU"/>
        </w:rPr>
        <w:t>, the process could be adapted at a smaller scale, with initial standards defined through cooperation between a technical decision-maker and a cybersecurity specialist.</w:t>
      </w:r>
    </w:p>
    <w:p w14:paraId="72122147" w14:textId="77777777" w:rsidR="00FD7927" w:rsidRPr="00EE7F84" w:rsidRDefault="00000000" w:rsidP="00EE7F84">
      <w:pPr>
        <w:spacing w:after="160" w:line="240" w:lineRule="auto"/>
        <w:rPr>
          <w:rFonts w:ascii="Times New Roman" w:eastAsia="Times New Roman" w:hAnsi="Times New Roman" w:cs="Times New Roman"/>
          <w:b/>
          <w:bCs/>
          <w:sz w:val="28"/>
          <w:szCs w:val="28"/>
          <w:lang w:val="en-AU" w:eastAsia="zh-CN"/>
        </w:rPr>
      </w:pPr>
      <w:r w:rsidRPr="00EE7F84">
        <w:rPr>
          <w:rFonts w:ascii="Times New Roman" w:eastAsia="Times New Roman" w:hAnsi="Times New Roman" w:cs="Times New Roman"/>
          <w:b/>
          <w:bCs/>
          <w:sz w:val="28"/>
          <w:szCs w:val="28"/>
          <w:lang w:val="en-AU" w:eastAsia="zh-CN"/>
        </w:rPr>
        <w:t>7. Reflexive Thematic Analysis Process</w:t>
      </w:r>
    </w:p>
    <w:p w14:paraId="3C939CA6" w14:textId="09D3A40C"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Qualitative feedback should be collected during and after the practical interpretive case. Relevant participants may include the </w:t>
      </w:r>
      <w:r w:rsidR="00B335BA">
        <w:rPr>
          <w:rFonts w:asciiTheme="majorBidi" w:hAnsiTheme="majorBidi" w:cstheme="majorBidi"/>
          <w:sz w:val="24"/>
          <w:szCs w:val="24"/>
          <w:lang w:val="en-AU"/>
        </w:rPr>
        <w:t>small business</w:t>
      </w:r>
      <w:r w:rsidRPr="00EE7F84">
        <w:rPr>
          <w:rFonts w:asciiTheme="majorBidi" w:hAnsiTheme="majorBidi" w:cstheme="majorBidi"/>
          <w:sz w:val="24"/>
          <w:szCs w:val="24"/>
          <w:lang w:val="en-AU"/>
        </w:rPr>
        <w:t xml:space="preserve"> owner, managers, technical staff, external IT support, cybersecurity experts, and, where appropriate, selected stakeholders affected by cybersecurity decisions. The purpose is to identify patterns in participant experiences related to usefulness, usability, affordability, technical impediments, trust, compliance, and recommendations for improving ARISE.</w:t>
      </w:r>
    </w:p>
    <w:p w14:paraId="05ED6FE3" w14:textId="62188BC5"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RTA follows an iterative process that can include familiarisation, coding, theme development, theme review, and reporting. For ARISE, this process can be used to interpret how participants understand the framework, where they </w:t>
      </w:r>
      <w:r w:rsidR="00EE7F84" w:rsidRPr="00EE7F84">
        <w:rPr>
          <w:rFonts w:asciiTheme="majorBidi" w:hAnsiTheme="majorBidi" w:cstheme="majorBidi"/>
          <w:sz w:val="24"/>
          <w:szCs w:val="24"/>
          <w:lang w:val="en-AU"/>
        </w:rPr>
        <w:t>have trouble</w:t>
      </w:r>
      <w:r w:rsidRPr="00EE7F84">
        <w:rPr>
          <w:rFonts w:asciiTheme="majorBidi" w:hAnsiTheme="majorBidi" w:cstheme="majorBidi"/>
          <w:sz w:val="24"/>
          <w:szCs w:val="24"/>
          <w:lang w:val="en-AU"/>
        </w:rPr>
        <w:t>, and which parts of the framework need refinement before live implementation. The themes should not be treated as objective measurements. They should be understood as researcher-generated interpretations developed through reflexive engagement with the data.</w:t>
      </w:r>
      <w:r w:rsidR="00B335BA">
        <w:rPr>
          <w:rFonts w:asciiTheme="majorBidi" w:hAnsiTheme="majorBidi" w:cstheme="majorBidi"/>
          <w:sz w:val="24"/>
          <w:szCs w:val="24"/>
          <w:lang w:val="en-AU"/>
        </w:rPr>
        <w:t xml:space="preserve"> Table 7 shows the practical interpretive case stages and RTA roles of these stages.</w:t>
      </w:r>
    </w:p>
    <w:p w14:paraId="00EA1A4E" w14:textId="77777777" w:rsidR="00FD7927" w:rsidRPr="00EE7F84" w:rsidRDefault="00000000" w:rsidP="00EE7F84">
      <w:pPr>
        <w:pStyle w:val="Caption"/>
        <w:keepNext/>
        <w:jc w:val="center"/>
        <w:rPr>
          <w:rFonts w:ascii="Times New Roman" w:eastAsia="Times New Roman" w:hAnsi="Times New Roman" w:cs="Times New Roman"/>
          <w:b w:val="0"/>
          <w:bCs w:val="0"/>
          <w:color w:val="000000" w:themeColor="text1"/>
          <w:sz w:val="20"/>
          <w:szCs w:val="20"/>
          <w:lang w:val="en-AU" w:eastAsia="zh-CN"/>
        </w:rPr>
      </w:pPr>
      <w:r w:rsidRPr="00EE7F84">
        <w:rPr>
          <w:rFonts w:ascii="Times New Roman" w:eastAsia="Times New Roman" w:hAnsi="Times New Roman" w:cs="Times New Roman"/>
          <w:b w:val="0"/>
          <w:bCs w:val="0"/>
          <w:color w:val="000000" w:themeColor="text1"/>
          <w:sz w:val="20"/>
          <w:szCs w:val="20"/>
          <w:lang w:val="en-AU" w:eastAsia="zh-CN"/>
        </w:rPr>
        <w:t>Table 7. Practical interpretive case stages and RTA roles.</w:t>
      </w:r>
    </w:p>
    <w:tbl>
      <w:tblPr>
        <w:tblStyle w:val="TableGrid"/>
        <w:tblW w:w="0" w:type="auto"/>
        <w:jc w:val="center"/>
        <w:tblLook w:val="04A0" w:firstRow="1" w:lastRow="0" w:firstColumn="1" w:lastColumn="0" w:noHBand="0" w:noVBand="1"/>
      </w:tblPr>
      <w:tblGrid>
        <w:gridCol w:w="2835"/>
        <w:gridCol w:w="5669"/>
      </w:tblGrid>
      <w:tr w:rsidR="00FD7927" w:rsidRPr="00EE7F84" w14:paraId="280AFF61" w14:textId="77777777">
        <w:trPr>
          <w:jc w:val="center"/>
        </w:trPr>
        <w:tc>
          <w:tcPr>
            <w:tcW w:w="2835" w:type="dxa"/>
            <w:shd w:val="clear" w:color="auto" w:fill="D9EAF0"/>
            <w:vAlign w:val="center"/>
          </w:tcPr>
          <w:p w14:paraId="2FFFD6B6"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Case stage</w:t>
            </w:r>
          </w:p>
        </w:tc>
        <w:tc>
          <w:tcPr>
            <w:tcW w:w="5669" w:type="dxa"/>
            <w:shd w:val="clear" w:color="auto" w:fill="D9EAF0"/>
            <w:vAlign w:val="center"/>
          </w:tcPr>
          <w:p w14:paraId="04DCDCB0"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RTA role</w:t>
            </w:r>
          </w:p>
        </w:tc>
      </w:tr>
      <w:tr w:rsidR="00FD7927" w:rsidRPr="00EE7F84" w14:paraId="70A6E09B" w14:textId="77777777">
        <w:trPr>
          <w:jc w:val="center"/>
        </w:trPr>
        <w:tc>
          <w:tcPr>
            <w:tcW w:w="2835" w:type="dxa"/>
          </w:tcPr>
          <w:p w14:paraId="48F3E73E"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Introduce ARISE</w:t>
            </w:r>
          </w:p>
        </w:tc>
        <w:tc>
          <w:tcPr>
            <w:tcW w:w="5669" w:type="dxa"/>
          </w:tcPr>
          <w:p w14:paraId="4FFB2428" w14:textId="10329B70"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 xml:space="preserve">Participants engage with the framework, its phases, and its proposed </w:t>
            </w:r>
            <w:r w:rsidR="00B335BA">
              <w:rPr>
                <w:rFonts w:ascii="Times New Roman" w:eastAsia="Times New Roman" w:hAnsi="Times New Roman" w:cs="Times New Roman"/>
                <w:sz w:val="22"/>
                <w:lang w:val="en-AU"/>
              </w:rPr>
              <w:t>small business</w:t>
            </w:r>
            <w:r w:rsidRPr="00EE7F84">
              <w:rPr>
                <w:rFonts w:ascii="Times New Roman" w:eastAsia="Times New Roman" w:hAnsi="Times New Roman" w:cs="Times New Roman"/>
                <w:sz w:val="22"/>
                <w:lang w:val="en-AU"/>
              </w:rPr>
              <w:t xml:space="preserve"> use.</w:t>
            </w:r>
          </w:p>
        </w:tc>
      </w:tr>
      <w:tr w:rsidR="00FD7927" w:rsidRPr="00EE7F84" w14:paraId="329CC17E" w14:textId="77777777">
        <w:trPr>
          <w:jc w:val="center"/>
        </w:trPr>
        <w:tc>
          <w:tcPr>
            <w:tcW w:w="2835" w:type="dxa"/>
          </w:tcPr>
          <w:p w14:paraId="4D037E7D"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Collect feedback</w:t>
            </w:r>
          </w:p>
        </w:tc>
        <w:tc>
          <w:tcPr>
            <w:tcW w:w="5669" w:type="dxa"/>
          </w:tcPr>
          <w:p w14:paraId="1A1855B5"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Data may include retrospective notes, workshop records, semi-structured interviews, open-ended survey responses, and expert review comments.</w:t>
            </w:r>
          </w:p>
        </w:tc>
      </w:tr>
      <w:tr w:rsidR="00FD7927" w:rsidRPr="00EE7F84" w14:paraId="586F4CA4" w14:textId="77777777">
        <w:trPr>
          <w:jc w:val="center"/>
        </w:trPr>
        <w:tc>
          <w:tcPr>
            <w:tcW w:w="2835" w:type="dxa"/>
          </w:tcPr>
          <w:p w14:paraId="42B7D637"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Code responses</w:t>
            </w:r>
          </w:p>
        </w:tc>
        <w:tc>
          <w:tcPr>
            <w:tcW w:w="5669" w:type="dxa"/>
          </w:tcPr>
          <w:p w14:paraId="21A1D4D9"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Meaningful comments are coded to identify repeated concerns, strengths, barriers, and improvement suggestions.</w:t>
            </w:r>
          </w:p>
        </w:tc>
      </w:tr>
      <w:tr w:rsidR="00FD7927" w:rsidRPr="00EE7F84" w14:paraId="2F906D59" w14:textId="77777777">
        <w:trPr>
          <w:jc w:val="center"/>
        </w:trPr>
        <w:tc>
          <w:tcPr>
            <w:tcW w:w="2835" w:type="dxa"/>
          </w:tcPr>
          <w:p w14:paraId="40DC182E"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Develop themes</w:t>
            </w:r>
          </w:p>
        </w:tc>
        <w:tc>
          <w:tcPr>
            <w:tcW w:w="5669" w:type="dxa"/>
          </w:tcPr>
          <w:p w14:paraId="56986611"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 xml:space="preserve">Codes are grouped into broader patterns that explain </w:t>
            </w:r>
            <w:r w:rsidRPr="00EE7F84">
              <w:rPr>
                <w:rFonts w:ascii="Times New Roman" w:eastAsia="Times New Roman" w:hAnsi="Times New Roman" w:cs="Times New Roman"/>
                <w:sz w:val="22"/>
                <w:lang w:val="en-AU"/>
              </w:rPr>
              <w:lastRenderedPageBreak/>
              <w:t>participant experiences and framework implications.</w:t>
            </w:r>
          </w:p>
        </w:tc>
      </w:tr>
      <w:tr w:rsidR="00FD7927" w:rsidRPr="00EE7F84" w14:paraId="4866BDA2" w14:textId="77777777">
        <w:trPr>
          <w:jc w:val="center"/>
        </w:trPr>
        <w:tc>
          <w:tcPr>
            <w:tcW w:w="2835" w:type="dxa"/>
          </w:tcPr>
          <w:p w14:paraId="52BFBAA2"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lastRenderedPageBreak/>
              <w:t>Interpret findings</w:t>
            </w:r>
          </w:p>
        </w:tc>
        <w:tc>
          <w:tcPr>
            <w:tcW w:w="5669" w:type="dxa"/>
          </w:tcPr>
          <w:p w14:paraId="2067C7BF"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Themes are interpreted in relation to usability, feasibility, affordability, technical barriers, and maturity-model alignment.</w:t>
            </w:r>
          </w:p>
        </w:tc>
      </w:tr>
      <w:tr w:rsidR="00FD7927" w:rsidRPr="00EE7F84" w14:paraId="5B0ECEE3" w14:textId="77777777">
        <w:trPr>
          <w:jc w:val="center"/>
        </w:trPr>
        <w:tc>
          <w:tcPr>
            <w:tcW w:w="2835" w:type="dxa"/>
          </w:tcPr>
          <w:p w14:paraId="2885C220"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Refine ARISE</w:t>
            </w:r>
          </w:p>
        </w:tc>
        <w:tc>
          <w:tcPr>
            <w:tcW w:w="5669" w:type="dxa"/>
          </w:tcPr>
          <w:p w14:paraId="2E750A09"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The framework, documentation, checklists, and maturity indicators are updated based on the interpreted themes.</w:t>
            </w:r>
          </w:p>
        </w:tc>
      </w:tr>
    </w:tbl>
    <w:p w14:paraId="6223CF93" w14:textId="77777777" w:rsidR="00FD7927" w:rsidRPr="00EE7F84" w:rsidRDefault="00FD7927">
      <w:pPr>
        <w:spacing w:after="40"/>
        <w:rPr>
          <w:lang w:val="en-AU"/>
        </w:rPr>
      </w:pPr>
    </w:p>
    <w:p w14:paraId="12DF36F0" w14:textId="77777777" w:rsidR="00FD7927" w:rsidRPr="00EE7F84" w:rsidRDefault="00000000">
      <w:pPr>
        <w:spacing w:after="80" w:line="259" w:lineRule="auto"/>
        <w:ind w:firstLine="255"/>
        <w:jc w:val="both"/>
        <w:rPr>
          <w:rFonts w:asciiTheme="majorBidi" w:hAnsiTheme="majorBidi" w:cstheme="majorBidi"/>
          <w:sz w:val="24"/>
          <w:szCs w:val="24"/>
          <w:lang w:val="en-AU"/>
        </w:rPr>
      </w:pPr>
      <w:r w:rsidRPr="00EE7F84">
        <w:rPr>
          <w:rFonts w:asciiTheme="majorBidi" w:hAnsiTheme="majorBidi" w:cstheme="majorBidi"/>
          <w:sz w:val="24"/>
          <w:szCs w:val="24"/>
          <w:lang w:val="en-AU"/>
        </w:rPr>
        <w:t>Example feedback questions include:</w:t>
      </w:r>
    </w:p>
    <w:p w14:paraId="16EE0990" w14:textId="77777777" w:rsidR="00EE7F84" w:rsidRDefault="00EE7F84" w:rsidP="00EE7F84">
      <w:pPr>
        <w:pStyle w:val="ListParagraph"/>
        <w:numPr>
          <w:ilvl w:val="0"/>
          <w:numId w:val="11"/>
        </w:numPr>
        <w:spacing w:after="80" w:line="259" w:lineRule="auto"/>
        <w:jc w:val="both"/>
        <w:rPr>
          <w:rFonts w:asciiTheme="majorBidi" w:hAnsiTheme="majorBidi" w:cstheme="majorBidi"/>
          <w:sz w:val="24"/>
          <w:szCs w:val="24"/>
          <w:lang w:val="en-AU"/>
        </w:rPr>
      </w:pPr>
      <w:r w:rsidRPr="00EE7F84">
        <w:rPr>
          <w:rFonts w:asciiTheme="majorBidi" w:hAnsiTheme="majorBidi" w:cstheme="majorBidi"/>
          <w:sz w:val="24"/>
          <w:szCs w:val="24"/>
          <w:lang w:val="en-AU"/>
        </w:rPr>
        <w:t>Which parts of the ARISE Framework were easiest to understand?</w:t>
      </w:r>
    </w:p>
    <w:p w14:paraId="5BA8906D" w14:textId="77777777" w:rsidR="00EE7F84" w:rsidRPr="00EE7F84" w:rsidRDefault="00EE7F84" w:rsidP="00EE7F84">
      <w:pPr>
        <w:pStyle w:val="ListParagraph"/>
        <w:numPr>
          <w:ilvl w:val="0"/>
          <w:numId w:val="11"/>
        </w:numPr>
        <w:spacing w:after="80" w:line="259" w:lineRule="auto"/>
        <w:jc w:val="both"/>
        <w:rPr>
          <w:rFonts w:asciiTheme="majorBidi" w:hAnsiTheme="majorBidi" w:cstheme="majorBidi"/>
          <w:sz w:val="24"/>
          <w:szCs w:val="24"/>
          <w:lang w:val="en-AU"/>
        </w:rPr>
      </w:pPr>
      <w:r w:rsidRPr="00EE7F84">
        <w:rPr>
          <w:rFonts w:asciiTheme="majorBidi" w:hAnsiTheme="majorBidi" w:cstheme="majorBidi"/>
          <w:sz w:val="24"/>
          <w:szCs w:val="24"/>
          <w:lang w:val="en-AU"/>
        </w:rPr>
        <w:t>Which ARISE phase was most useful for the organisation?</w:t>
      </w:r>
    </w:p>
    <w:p w14:paraId="6CB98701" w14:textId="77777777" w:rsidR="00EE7F84" w:rsidRPr="00EE7F84" w:rsidRDefault="00EE7F84" w:rsidP="00EE7F84">
      <w:pPr>
        <w:pStyle w:val="ListParagraph"/>
        <w:numPr>
          <w:ilvl w:val="0"/>
          <w:numId w:val="11"/>
        </w:numPr>
        <w:spacing w:after="80" w:line="259" w:lineRule="auto"/>
        <w:jc w:val="both"/>
        <w:rPr>
          <w:rFonts w:asciiTheme="majorBidi" w:hAnsiTheme="majorBidi" w:cstheme="majorBidi"/>
          <w:sz w:val="24"/>
          <w:szCs w:val="24"/>
          <w:lang w:val="en-AU"/>
        </w:rPr>
      </w:pPr>
      <w:r w:rsidRPr="00EE7F84">
        <w:rPr>
          <w:rFonts w:asciiTheme="majorBidi" w:hAnsiTheme="majorBidi" w:cstheme="majorBidi"/>
          <w:sz w:val="24"/>
          <w:szCs w:val="24"/>
          <w:lang w:val="en-AU"/>
        </w:rPr>
        <w:t>Which parts of ARISE would be difficult to apply in a small business?</w:t>
      </w:r>
    </w:p>
    <w:p w14:paraId="247D104D" w14:textId="77ACAF3C" w:rsidR="00EE7F84" w:rsidRPr="00EE7F84" w:rsidRDefault="00EE7F84" w:rsidP="00EE7F84">
      <w:pPr>
        <w:pStyle w:val="ListParagraph"/>
        <w:numPr>
          <w:ilvl w:val="0"/>
          <w:numId w:val="11"/>
        </w:numPr>
        <w:spacing w:after="80" w:line="259" w:lineRule="auto"/>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What barriers would </w:t>
      </w:r>
      <w:r w:rsidR="00B335BA">
        <w:rPr>
          <w:rFonts w:asciiTheme="majorBidi" w:hAnsiTheme="majorBidi" w:cstheme="majorBidi"/>
          <w:sz w:val="24"/>
          <w:szCs w:val="24"/>
          <w:lang w:val="en-AU"/>
        </w:rPr>
        <w:t>small businesses</w:t>
      </w:r>
      <w:r w:rsidRPr="00EE7F84">
        <w:rPr>
          <w:rFonts w:asciiTheme="majorBidi" w:hAnsiTheme="majorBidi" w:cstheme="majorBidi"/>
          <w:sz w:val="24"/>
          <w:szCs w:val="24"/>
          <w:lang w:val="en-AU"/>
        </w:rPr>
        <w:t xml:space="preserve"> face when using ARISE?</w:t>
      </w:r>
    </w:p>
    <w:p w14:paraId="6CE712D7" w14:textId="77777777" w:rsidR="00EE7F84" w:rsidRPr="00EE7F84" w:rsidRDefault="00EE7F84" w:rsidP="00EE7F84">
      <w:pPr>
        <w:pStyle w:val="ListParagraph"/>
        <w:numPr>
          <w:ilvl w:val="0"/>
          <w:numId w:val="11"/>
        </w:numPr>
        <w:spacing w:after="80" w:line="259" w:lineRule="auto"/>
        <w:jc w:val="both"/>
        <w:rPr>
          <w:rFonts w:asciiTheme="majorBidi" w:hAnsiTheme="majorBidi" w:cstheme="majorBidi"/>
          <w:sz w:val="24"/>
          <w:szCs w:val="24"/>
          <w:lang w:val="en-AU"/>
        </w:rPr>
      </w:pPr>
      <w:r w:rsidRPr="00EE7F84">
        <w:rPr>
          <w:rFonts w:asciiTheme="majorBidi" w:hAnsiTheme="majorBidi" w:cstheme="majorBidi"/>
          <w:sz w:val="24"/>
          <w:szCs w:val="24"/>
          <w:lang w:val="en-AU"/>
        </w:rPr>
        <w:t>How realistic is the framework for a micro or small business?</w:t>
      </w:r>
    </w:p>
    <w:p w14:paraId="77CABD22" w14:textId="77777777" w:rsidR="00EE7F84" w:rsidRPr="00EE7F84" w:rsidRDefault="00EE7F84" w:rsidP="00EE7F84">
      <w:pPr>
        <w:pStyle w:val="ListParagraph"/>
        <w:numPr>
          <w:ilvl w:val="0"/>
          <w:numId w:val="11"/>
        </w:numPr>
        <w:spacing w:after="80" w:line="259" w:lineRule="auto"/>
        <w:jc w:val="both"/>
        <w:rPr>
          <w:rFonts w:asciiTheme="majorBidi" w:hAnsiTheme="majorBidi" w:cstheme="majorBidi"/>
          <w:sz w:val="24"/>
          <w:szCs w:val="24"/>
          <w:lang w:val="en-AU"/>
        </w:rPr>
      </w:pPr>
      <w:r w:rsidRPr="00EE7F84">
        <w:rPr>
          <w:rFonts w:asciiTheme="majorBidi" w:hAnsiTheme="majorBidi" w:cstheme="majorBidi"/>
          <w:sz w:val="24"/>
          <w:szCs w:val="24"/>
          <w:lang w:val="en-AU"/>
        </w:rPr>
        <w:t>How affordable is the framework compared with alternative cybersecurity options?</w:t>
      </w:r>
    </w:p>
    <w:p w14:paraId="37C6CB4C" w14:textId="00598E87" w:rsidR="00EE7F84" w:rsidRDefault="00EE7F84" w:rsidP="00EE7F84">
      <w:pPr>
        <w:pStyle w:val="ListParagraph"/>
        <w:numPr>
          <w:ilvl w:val="0"/>
          <w:numId w:val="11"/>
        </w:numPr>
        <w:spacing w:after="80" w:line="259" w:lineRule="auto"/>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What should be changed before ARISE is implemented in real </w:t>
      </w:r>
      <w:r w:rsidR="00B335BA">
        <w:rPr>
          <w:rFonts w:asciiTheme="majorBidi" w:hAnsiTheme="majorBidi" w:cstheme="majorBidi"/>
          <w:sz w:val="24"/>
          <w:szCs w:val="24"/>
          <w:lang w:val="en-AU"/>
        </w:rPr>
        <w:t>small business</w:t>
      </w:r>
      <w:r w:rsidRPr="00EE7F84">
        <w:rPr>
          <w:rFonts w:asciiTheme="majorBidi" w:hAnsiTheme="majorBidi" w:cstheme="majorBidi"/>
          <w:sz w:val="24"/>
          <w:szCs w:val="24"/>
          <w:lang w:val="en-AU"/>
        </w:rPr>
        <w:t xml:space="preserve"> environments?</w:t>
      </w:r>
    </w:p>
    <w:p w14:paraId="312CC17F" w14:textId="77777777" w:rsidR="00B335BA" w:rsidRDefault="00B335BA" w:rsidP="00B335BA">
      <w:pPr>
        <w:spacing w:after="80" w:line="259" w:lineRule="auto"/>
        <w:jc w:val="both"/>
        <w:rPr>
          <w:rFonts w:asciiTheme="majorBidi" w:hAnsiTheme="majorBidi" w:cstheme="majorBidi"/>
          <w:sz w:val="24"/>
          <w:szCs w:val="24"/>
          <w:lang w:val="en-AU"/>
        </w:rPr>
      </w:pPr>
    </w:p>
    <w:p w14:paraId="0A3C26F8" w14:textId="2F8169AC" w:rsidR="00EE7F84" w:rsidRPr="00B335BA" w:rsidRDefault="00B335BA" w:rsidP="00B335BA">
      <w:pPr>
        <w:spacing w:after="80" w:line="259" w:lineRule="auto"/>
        <w:ind w:left="870" w:firstLine="570"/>
        <w:jc w:val="both"/>
        <w:rPr>
          <w:rFonts w:asciiTheme="majorBidi" w:hAnsiTheme="majorBidi" w:cstheme="majorBidi"/>
          <w:sz w:val="24"/>
          <w:szCs w:val="24"/>
          <w:lang w:val="en-AU"/>
        </w:rPr>
      </w:pPr>
      <w:r w:rsidRPr="00B335BA">
        <w:rPr>
          <w:rFonts w:asciiTheme="majorBidi" w:hAnsiTheme="majorBidi" w:cstheme="majorBidi"/>
          <w:sz w:val="24"/>
          <w:szCs w:val="24"/>
          <w:lang w:val="en-AU"/>
        </w:rPr>
        <w:t>Table 8 includes some example participant comments and possible RTA codes.</w:t>
      </w:r>
    </w:p>
    <w:p w14:paraId="3C15D38E" w14:textId="77777777" w:rsidR="00EE7F84" w:rsidRPr="00EE7F84" w:rsidRDefault="00EE7F84" w:rsidP="00EE7F84">
      <w:pPr>
        <w:pStyle w:val="ListParagraph"/>
        <w:spacing w:after="80" w:line="259" w:lineRule="auto"/>
        <w:ind w:left="975"/>
        <w:jc w:val="both"/>
        <w:rPr>
          <w:rFonts w:asciiTheme="majorBidi" w:hAnsiTheme="majorBidi" w:cstheme="majorBidi"/>
          <w:sz w:val="24"/>
          <w:szCs w:val="24"/>
          <w:lang w:val="en-AU"/>
        </w:rPr>
      </w:pPr>
    </w:p>
    <w:p w14:paraId="20FC6BD0" w14:textId="77777777" w:rsidR="00FD7927" w:rsidRPr="00EE7F84" w:rsidRDefault="00000000" w:rsidP="00EE7F84">
      <w:pPr>
        <w:pStyle w:val="Caption"/>
        <w:keepNext/>
        <w:jc w:val="center"/>
        <w:rPr>
          <w:rFonts w:ascii="Times New Roman" w:eastAsia="Times New Roman" w:hAnsi="Times New Roman" w:cs="Times New Roman"/>
          <w:b w:val="0"/>
          <w:bCs w:val="0"/>
          <w:color w:val="000000" w:themeColor="text1"/>
          <w:sz w:val="20"/>
          <w:szCs w:val="20"/>
          <w:lang w:val="en-AU" w:eastAsia="zh-CN"/>
        </w:rPr>
      </w:pPr>
      <w:r w:rsidRPr="00EE7F84">
        <w:rPr>
          <w:rFonts w:ascii="Times New Roman" w:eastAsia="Times New Roman" w:hAnsi="Times New Roman" w:cs="Times New Roman"/>
          <w:b w:val="0"/>
          <w:bCs w:val="0"/>
          <w:color w:val="000000" w:themeColor="text1"/>
          <w:sz w:val="20"/>
          <w:szCs w:val="20"/>
          <w:lang w:val="en-AU" w:eastAsia="zh-CN"/>
        </w:rPr>
        <w:t>Table 8. Example participant comments and possible RTA codes.</w:t>
      </w:r>
    </w:p>
    <w:tbl>
      <w:tblPr>
        <w:tblStyle w:val="TableGrid"/>
        <w:tblW w:w="0" w:type="auto"/>
        <w:jc w:val="center"/>
        <w:tblLook w:val="04A0" w:firstRow="1" w:lastRow="0" w:firstColumn="1" w:lastColumn="0" w:noHBand="0" w:noVBand="1"/>
      </w:tblPr>
      <w:tblGrid>
        <w:gridCol w:w="5669"/>
        <w:gridCol w:w="2835"/>
      </w:tblGrid>
      <w:tr w:rsidR="00FD7927" w:rsidRPr="00EE7F84" w14:paraId="12CB4C36" w14:textId="77777777">
        <w:trPr>
          <w:jc w:val="center"/>
        </w:trPr>
        <w:tc>
          <w:tcPr>
            <w:tcW w:w="5669" w:type="dxa"/>
            <w:shd w:val="clear" w:color="auto" w:fill="D9EAF0"/>
            <w:vAlign w:val="center"/>
          </w:tcPr>
          <w:p w14:paraId="0EC0D711"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Participant comment</w:t>
            </w:r>
          </w:p>
        </w:tc>
        <w:tc>
          <w:tcPr>
            <w:tcW w:w="2835" w:type="dxa"/>
            <w:shd w:val="clear" w:color="auto" w:fill="D9EAF0"/>
            <w:vAlign w:val="center"/>
          </w:tcPr>
          <w:p w14:paraId="17076C1D"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Possible code</w:t>
            </w:r>
          </w:p>
        </w:tc>
      </w:tr>
      <w:tr w:rsidR="00FD7927" w:rsidRPr="00EE7F84" w14:paraId="3B928704" w14:textId="77777777">
        <w:trPr>
          <w:jc w:val="center"/>
        </w:trPr>
        <w:tc>
          <w:tcPr>
            <w:tcW w:w="5669" w:type="dxa"/>
          </w:tcPr>
          <w:p w14:paraId="1C376586"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The questionnaire is a bit too long in the prevention phase.</w:t>
            </w:r>
          </w:p>
        </w:tc>
        <w:tc>
          <w:tcPr>
            <w:tcW w:w="2835" w:type="dxa"/>
          </w:tcPr>
          <w:p w14:paraId="143E781C"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Questionnaire burden</w:t>
            </w:r>
          </w:p>
        </w:tc>
      </w:tr>
      <w:tr w:rsidR="00FD7927" w:rsidRPr="00EE7F84" w14:paraId="66488930" w14:textId="77777777">
        <w:trPr>
          <w:jc w:val="center"/>
        </w:trPr>
        <w:tc>
          <w:tcPr>
            <w:tcW w:w="5669" w:type="dxa"/>
          </w:tcPr>
          <w:p w14:paraId="7F526ACF" w14:textId="7A5AB811" w:rsidR="00FD7927" w:rsidRPr="00EE7F84" w:rsidRDefault="00B335BA">
            <w:pPr>
              <w:rPr>
                <w:rFonts w:ascii="Times New Roman" w:eastAsia="Times New Roman" w:hAnsi="Times New Roman" w:cs="Times New Roman"/>
                <w:b/>
                <w:bCs/>
                <w:sz w:val="22"/>
                <w:lang w:val="en-AU"/>
              </w:rPr>
            </w:pPr>
            <w:r>
              <w:rPr>
                <w:rFonts w:ascii="Times New Roman" w:eastAsia="Times New Roman" w:hAnsi="Times New Roman" w:cs="Times New Roman"/>
                <w:b/>
                <w:bCs/>
                <w:sz w:val="22"/>
                <w:lang w:val="en-AU"/>
              </w:rPr>
              <w:t>Small businesses</w:t>
            </w:r>
            <w:r w:rsidR="00000000" w:rsidRPr="00EE7F84">
              <w:rPr>
                <w:rFonts w:ascii="Times New Roman" w:eastAsia="Times New Roman" w:hAnsi="Times New Roman" w:cs="Times New Roman"/>
                <w:b/>
                <w:bCs/>
                <w:sz w:val="22"/>
                <w:lang w:val="en-AU"/>
              </w:rPr>
              <w:t xml:space="preserve"> may not be capable of using the ML tools.</w:t>
            </w:r>
          </w:p>
        </w:tc>
        <w:tc>
          <w:tcPr>
            <w:tcW w:w="2835" w:type="dxa"/>
          </w:tcPr>
          <w:p w14:paraId="17D8768C"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Technical complexity</w:t>
            </w:r>
          </w:p>
        </w:tc>
      </w:tr>
      <w:tr w:rsidR="00FD7927" w:rsidRPr="00EE7F84" w14:paraId="2B9800C4" w14:textId="77777777">
        <w:trPr>
          <w:jc w:val="center"/>
        </w:trPr>
        <w:tc>
          <w:tcPr>
            <w:tcW w:w="5669" w:type="dxa"/>
          </w:tcPr>
          <w:p w14:paraId="07C3D659"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The framework is affordable compared with hiring cybersecurity experts.</w:t>
            </w:r>
          </w:p>
        </w:tc>
        <w:tc>
          <w:tcPr>
            <w:tcW w:w="2835" w:type="dxa"/>
          </w:tcPr>
          <w:p w14:paraId="7F02DAFC"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Affordability advantage</w:t>
            </w:r>
          </w:p>
        </w:tc>
      </w:tr>
      <w:tr w:rsidR="00FD7927" w:rsidRPr="00EE7F84" w14:paraId="5A351628" w14:textId="77777777">
        <w:trPr>
          <w:jc w:val="center"/>
        </w:trPr>
        <w:tc>
          <w:tcPr>
            <w:tcW w:w="5669" w:type="dxa"/>
          </w:tcPr>
          <w:p w14:paraId="0162256A"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Incident response should be presented in clearer steps.</w:t>
            </w:r>
          </w:p>
        </w:tc>
        <w:tc>
          <w:tcPr>
            <w:tcW w:w="2835" w:type="dxa"/>
          </w:tcPr>
          <w:p w14:paraId="2D420E8E"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Unclear response process</w:t>
            </w:r>
          </w:p>
        </w:tc>
      </w:tr>
      <w:tr w:rsidR="00FD7927" w:rsidRPr="00EE7F84" w14:paraId="5E3A4CDA" w14:textId="77777777">
        <w:trPr>
          <w:jc w:val="center"/>
        </w:trPr>
        <w:tc>
          <w:tcPr>
            <w:tcW w:w="5669" w:type="dxa"/>
          </w:tcPr>
          <w:p w14:paraId="419FE731" w14:textId="73FDE8A1"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 xml:space="preserve">We are concerned about how incident </w:t>
            </w:r>
            <w:r w:rsidR="00EE7F84" w:rsidRPr="00EE7F84">
              <w:rPr>
                <w:rFonts w:ascii="Times New Roman" w:eastAsia="Times New Roman" w:hAnsi="Times New Roman" w:cs="Times New Roman"/>
                <w:b/>
                <w:bCs/>
                <w:sz w:val="22"/>
                <w:lang w:val="en-AU"/>
              </w:rPr>
              <w:t>reports,</w:t>
            </w:r>
            <w:r w:rsidRPr="00EE7F84">
              <w:rPr>
                <w:rFonts w:ascii="Times New Roman" w:eastAsia="Times New Roman" w:hAnsi="Times New Roman" w:cs="Times New Roman"/>
                <w:b/>
                <w:bCs/>
                <w:sz w:val="22"/>
                <w:lang w:val="en-AU"/>
              </w:rPr>
              <w:t xml:space="preserve"> and business data will be stored.</w:t>
            </w:r>
          </w:p>
        </w:tc>
        <w:tc>
          <w:tcPr>
            <w:tcW w:w="2835" w:type="dxa"/>
          </w:tcPr>
          <w:p w14:paraId="2E751F30"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Privacy and data retention concern</w:t>
            </w:r>
          </w:p>
        </w:tc>
      </w:tr>
    </w:tbl>
    <w:p w14:paraId="7DA32DEB" w14:textId="77777777" w:rsidR="00FD7927" w:rsidRDefault="00FD7927">
      <w:pPr>
        <w:spacing w:after="40"/>
        <w:rPr>
          <w:lang w:val="en-AU"/>
        </w:rPr>
      </w:pPr>
    </w:p>
    <w:p w14:paraId="616C650D" w14:textId="05C4E1B4" w:rsidR="00B335BA" w:rsidRPr="00EE7F84" w:rsidRDefault="00B335BA" w:rsidP="00B335BA">
      <w:pPr>
        <w:spacing w:after="80" w:line="259" w:lineRule="auto"/>
        <w:ind w:left="615" w:firstLine="105"/>
        <w:jc w:val="both"/>
        <w:rPr>
          <w:lang w:val="en-AU"/>
        </w:rPr>
      </w:pPr>
      <w:r>
        <w:rPr>
          <w:lang w:val="en-AU"/>
        </w:rPr>
        <w:tab/>
      </w:r>
      <w:r w:rsidRPr="00B335BA">
        <w:rPr>
          <w:rFonts w:asciiTheme="majorBidi" w:hAnsiTheme="majorBidi" w:cstheme="majorBidi"/>
          <w:sz w:val="24"/>
          <w:szCs w:val="24"/>
          <w:lang w:val="en-AU"/>
        </w:rPr>
        <w:t xml:space="preserve">Table </w:t>
      </w:r>
      <w:r>
        <w:rPr>
          <w:rFonts w:asciiTheme="majorBidi" w:hAnsiTheme="majorBidi" w:cstheme="majorBidi"/>
          <w:sz w:val="24"/>
          <w:szCs w:val="24"/>
          <w:lang w:val="en-AU"/>
        </w:rPr>
        <w:t>9 lists example RTA themes for ARISE refinement</w:t>
      </w:r>
    </w:p>
    <w:p w14:paraId="782591B2" w14:textId="77777777" w:rsidR="00FD7927" w:rsidRPr="00EE7F84" w:rsidRDefault="00000000" w:rsidP="00EE7F84">
      <w:pPr>
        <w:pStyle w:val="Caption"/>
        <w:keepNext/>
        <w:jc w:val="center"/>
        <w:rPr>
          <w:rFonts w:ascii="Times New Roman" w:eastAsia="Times New Roman" w:hAnsi="Times New Roman" w:cs="Times New Roman"/>
          <w:b w:val="0"/>
          <w:bCs w:val="0"/>
          <w:color w:val="000000" w:themeColor="text1"/>
          <w:sz w:val="20"/>
          <w:szCs w:val="20"/>
          <w:lang w:val="en-AU" w:eastAsia="zh-CN"/>
        </w:rPr>
      </w:pPr>
      <w:r w:rsidRPr="00EE7F84">
        <w:rPr>
          <w:rFonts w:ascii="Times New Roman" w:eastAsia="Times New Roman" w:hAnsi="Times New Roman" w:cs="Times New Roman"/>
          <w:b w:val="0"/>
          <w:bCs w:val="0"/>
          <w:color w:val="000000" w:themeColor="text1"/>
          <w:sz w:val="20"/>
          <w:szCs w:val="20"/>
          <w:lang w:val="en-AU" w:eastAsia="zh-CN"/>
        </w:rPr>
        <w:t>Table 9. Example RTA themes for ARISE refinement.</w:t>
      </w:r>
    </w:p>
    <w:tbl>
      <w:tblPr>
        <w:tblStyle w:val="TableGrid"/>
        <w:tblW w:w="0" w:type="auto"/>
        <w:jc w:val="center"/>
        <w:tblLook w:val="04A0" w:firstRow="1" w:lastRow="0" w:firstColumn="1" w:lastColumn="0" w:noHBand="0" w:noVBand="1"/>
      </w:tblPr>
      <w:tblGrid>
        <w:gridCol w:w="2835"/>
        <w:gridCol w:w="5669"/>
      </w:tblGrid>
      <w:tr w:rsidR="00FD7927" w:rsidRPr="00EE7F84" w14:paraId="46807962" w14:textId="77777777">
        <w:trPr>
          <w:jc w:val="center"/>
        </w:trPr>
        <w:tc>
          <w:tcPr>
            <w:tcW w:w="2835" w:type="dxa"/>
            <w:shd w:val="clear" w:color="auto" w:fill="D9EAF0"/>
            <w:vAlign w:val="center"/>
          </w:tcPr>
          <w:p w14:paraId="54534722"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Theme</w:t>
            </w:r>
          </w:p>
        </w:tc>
        <w:tc>
          <w:tcPr>
            <w:tcW w:w="5669" w:type="dxa"/>
            <w:shd w:val="clear" w:color="auto" w:fill="D9EAF0"/>
            <w:vAlign w:val="center"/>
          </w:tcPr>
          <w:p w14:paraId="19DCCBBB"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Meaning for ARISE</w:t>
            </w:r>
          </w:p>
        </w:tc>
      </w:tr>
      <w:tr w:rsidR="00FD7927" w:rsidRPr="00EE7F84" w14:paraId="6A2CB049" w14:textId="77777777">
        <w:trPr>
          <w:jc w:val="center"/>
        </w:trPr>
        <w:tc>
          <w:tcPr>
            <w:tcW w:w="2835" w:type="dxa"/>
          </w:tcPr>
          <w:p w14:paraId="49BD8423" w14:textId="353896D5"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 xml:space="preserve">Practicality for </w:t>
            </w:r>
            <w:r w:rsidR="00B335BA">
              <w:rPr>
                <w:rFonts w:ascii="Times New Roman" w:eastAsia="Times New Roman" w:hAnsi="Times New Roman" w:cs="Times New Roman"/>
                <w:b/>
                <w:bCs/>
                <w:sz w:val="22"/>
                <w:lang w:val="en-AU"/>
              </w:rPr>
              <w:t>small businesses</w:t>
            </w:r>
          </w:p>
        </w:tc>
        <w:tc>
          <w:tcPr>
            <w:tcW w:w="5669" w:type="dxa"/>
          </w:tcPr>
          <w:p w14:paraId="0682FCE6"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Whether ARISE is realistic for small businesses with limited staff and budget.</w:t>
            </w:r>
          </w:p>
        </w:tc>
      </w:tr>
      <w:tr w:rsidR="00FD7927" w:rsidRPr="00EE7F84" w14:paraId="6ACEDC81" w14:textId="77777777">
        <w:trPr>
          <w:jc w:val="center"/>
        </w:trPr>
        <w:tc>
          <w:tcPr>
            <w:tcW w:w="2835" w:type="dxa"/>
          </w:tcPr>
          <w:p w14:paraId="4F73CB38"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Usability</w:t>
            </w:r>
          </w:p>
        </w:tc>
        <w:tc>
          <w:tcPr>
            <w:tcW w:w="5669" w:type="dxa"/>
          </w:tcPr>
          <w:p w14:paraId="2847EFFF"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Whether users can understand and apply the framework to maintain cyber resilience.</w:t>
            </w:r>
          </w:p>
        </w:tc>
      </w:tr>
      <w:tr w:rsidR="00FD7927" w:rsidRPr="00EE7F84" w14:paraId="10C6BA00" w14:textId="77777777">
        <w:trPr>
          <w:jc w:val="center"/>
        </w:trPr>
        <w:tc>
          <w:tcPr>
            <w:tcW w:w="2835" w:type="dxa"/>
          </w:tcPr>
          <w:p w14:paraId="1CEE3D06"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Technical barriers</w:t>
            </w:r>
          </w:p>
        </w:tc>
        <w:tc>
          <w:tcPr>
            <w:tcW w:w="5669" w:type="dxa"/>
          </w:tcPr>
          <w:p w14:paraId="7AA7C1E7"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Difficulties associated with monitoring, ML tools, network analysis, or framework implementation.</w:t>
            </w:r>
          </w:p>
        </w:tc>
      </w:tr>
      <w:tr w:rsidR="00FD7927" w:rsidRPr="00EE7F84" w14:paraId="69536829" w14:textId="77777777">
        <w:trPr>
          <w:jc w:val="center"/>
        </w:trPr>
        <w:tc>
          <w:tcPr>
            <w:tcW w:w="2835" w:type="dxa"/>
          </w:tcPr>
          <w:p w14:paraId="32DA47E0"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Affordability</w:t>
            </w:r>
          </w:p>
        </w:tc>
        <w:tc>
          <w:tcPr>
            <w:tcW w:w="5669" w:type="dxa"/>
          </w:tcPr>
          <w:p w14:paraId="7B0426DA" w14:textId="6C2895D4"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 xml:space="preserve">Whether the framework fits </w:t>
            </w:r>
            <w:r w:rsidR="00B335BA">
              <w:rPr>
                <w:rFonts w:ascii="Times New Roman" w:eastAsia="Times New Roman" w:hAnsi="Times New Roman" w:cs="Times New Roman"/>
                <w:sz w:val="22"/>
                <w:lang w:val="en-AU"/>
              </w:rPr>
              <w:t>small business</w:t>
            </w:r>
            <w:r w:rsidRPr="00EE7F84">
              <w:rPr>
                <w:rFonts w:ascii="Times New Roman" w:eastAsia="Times New Roman" w:hAnsi="Times New Roman" w:cs="Times New Roman"/>
                <w:sz w:val="22"/>
                <w:lang w:val="en-AU"/>
              </w:rPr>
              <w:t xml:space="preserve"> budget constraints.</w:t>
            </w:r>
          </w:p>
        </w:tc>
      </w:tr>
      <w:tr w:rsidR="00FD7927" w:rsidRPr="00EE7F84" w14:paraId="6A6EA5D8" w14:textId="77777777">
        <w:trPr>
          <w:jc w:val="center"/>
        </w:trPr>
        <w:tc>
          <w:tcPr>
            <w:tcW w:w="2835" w:type="dxa"/>
          </w:tcPr>
          <w:p w14:paraId="3FCFED8C"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Framework improvement</w:t>
            </w:r>
          </w:p>
        </w:tc>
        <w:tc>
          <w:tcPr>
            <w:tcW w:w="5669" w:type="dxa"/>
          </w:tcPr>
          <w:p w14:paraId="26D8E8FB"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Refinement of ARISE phases, documentation, checklists, and decision points.</w:t>
            </w:r>
          </w:p>
        </w:tc>
      </w:tr>
      <w:tr w:rsidR="00FD7927" w:rsidRPr="00EE7F84" w14:paraId="555C6296" w14:textId="77777777">
        <w:trPr>
          <w:jc w:val="center"/>
        </w:trPr>
        <w:tc>
          <w:tcPr>
            <w:tcW w:w="2835" w:type="dxa"/>
          </w:tcPr>
          <w:p w14:paraId="31DD464E"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Trust and compliance</w:t>
            </w:r>
          </w:p>
        </w:tc>
        <w:tc>
          <w:tcPr>
            <w:tcW w:w="5669" w:type="dxa"/>
          </w:tcPr>
          <w:p w14:paraId="10DEFB53"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Concerns about privacy, data handling, reporting obligations, and legal requirements.</w:t>
            </w:r>
          </w:p>
        </w:tc>
      </w:tr>
    </w:tbl>
    <w:p w14:paraId="543F009D" w14:textId="77777777" w:rsidR="00FD7927" w:rsidRPr="00EE7F84" w:rsidRDefault="00FD7927">
      <w:pPr>
        <w:spacing w:after="40"/>
        <w:rPr>
          <w:lang w:val="en-AU"/>
        </w:rPr>
      </w:pPr>
    </w:p>
    <w:p w14:paraId="10076500" w14:textId="7777777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lastRenderedPageBreak/>
        <w:t>These themes can be used to refine ARISE. For example, an affordability concern may lead to revised package options or tool recommendations. A technical complexity theme may lead to simplified Weka or machine learning documentation. An unclear response process theme may lead to a shorter incident-response checklist. A privacy concern may lead to clearer data retention, consent, and compliance guidance.</w:t>
      </w:r>
    </w:p>
    <w:p w14:paraId="06BA5BF0" w14:textId="77777777" w:rsidR="00FD7927" w:rsidRPr="00EE7F84" w:rsidRDefault="00000000" w:rsidP="00EE7F84">
      <w:pPr>
        <w:spacing w:after="160" w:line="240" w:lineRule="auto"/>
        <w:rPr>
          <w:rFonts w:ascii="Times New Roman" w:eastAsia="Times New Roman" w:hAnsi="Times New Roman" w:cs="Times New Roman"/>
          <w:b/>
          <w:bCs/>
          <w:sz w:val="28"/>
          <w:szCs w:val="28"/>
          <w:lang w:val="en-AU" w:eastAsia="zh-CN"/>
        </w:rPr>
      </w:pPr>
      <w:r w:rsidRPr="00EE7F84">
        <w:rPr>
          <w:rFonts w:ascii="Times New Roman" w:eastAsia="Times New Roman" w:hAnsi="Times New Roman" w:cs="Times New Roman"/>
          <w:b/>
          <w:bCs/>
          <w:sz w:val="28"/>
          <w:szCs w:val="28"/>
          <w:lang w:val="en-AU" w:eastAsia="zh-CN"/>
        </w:rPr>
        <w:t>8. Maturity-Model Benchmarking</w:t>
      </w:r>
    </w:p>
    <w:p w14:paraId="3665BCBC" w14:textId="26C60427"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Benchmarking supports the positioning of ARISE within the wider cybersecurity maturity-model landscape. In this document, benchmarking is not used to prove that ARISE is superior to existing frameworks. Instead, it is used to identify conceptual alignment, practical gaps, and </w:t>
      </w:r>
      <w:r w:rsidR="00B335BA">
        <w:rPr>
          <w:rFonts w:asciiTheme="majorBidi" w:hAnsiTheme="majorBidi" w:cstheme="majorBidi"/>
          <w:sz w:val="24"/>
          <w:szCs w:val="24"/>
          <w:lang w:val="en-AU"/>
        </w:rPr>
        <w:t>small business</w:t>
      </w:r>
      <w:r w:rsidRPr="00EE7F84">
        <w:rPr>
          <w:rFonts w:asciiTheme="majorBidi" w:hAnsiTheme="majorBidi" w:cstheme="majorBidi"/>
          <w:sz w:val="24"/>
          <w:szCs w:val="24"/>
          <w:lang w:val="en-AU"/>
        </w:rPr>
        <w:t>-specific adaptations. This is consistent with the RTA framing because the comparison remains interpretive and transparent rather than purely numerical.</w:t>
      </w:r>
      <w:r w:rsidR="00B335BA">
        <w:rPr>
          <w:rFonts w:asciiTheme="majorBidi" w:hAnsiTheme="majorBidi" w:cstheme="majorBidi"/>
          <w:sz w:val="24"/>
          <w:szCs w:val="24"/>
          <w:lang w:val="en-AU"/>
        </w:rPr>
        <w:t xml:space="preserve"> Table 10 defines benchmarking links between ARISE, RTA themes, and recognised frameworks.</w:t>
      </w:r>
    </w:p>
    <w:p w14:paraId="78065B20" w14:textId="77777777" w:rsidR="00FD7927" w:rsidRPr="00EE7F84" w:rsidRDefault="00000000" w:rsidP="00EE7F84">
      <w:pPr>
        <w:pStyle w:val="Caption"/>
        <w:keepNext/>
        <w:jc w:val="center"/>
        <w:rPr>
          <w:rFonts w:ascii="Times New Roman" w:eastAsia="Times New Roman" w:hAnsi="Times New Roman" w:cs="Times New Roman"/>
          <w:b w:val="0"/>
          <w:bCs w:val="0"/>
          <w:color w:val="000000" w:themeColor="text1"/>
          <w:sz w:val="20"/>
          <w:szCs w:val="20"/>
          <w:lang w:val="en-AU" w:eastAsia="zh-CN"/>
        </w:rPr>
      </w:pPr>
      <w:r w:rsidRPr="00EE7F84">
        <w:rPr>
          <w:rFonts w:ascii="Times New Roman" w:eastAsia="Times New Roman" w:hAnsi="Times New Roman" w:cs="Times New Roman"/>
          <w:b w:val="0"/>
          <w:bCs w:val="0"/>
          <w:color w:val="000000" w:themeColor="text1"/>
          <w:sz w:val="20"/>
          <w:szCs w:val="20"/>
          <w:lang w:val="en-AU" w:eastAsia="zh-CN"/>
        </w:rPr>
        <w:t>Table 10. Benchmarking links between ARISE, RTA themes, and recognised frameworks.</w:t>
      </w:r>
    </w:p>
    <w:tbl>
      <w:tblPr>
        <w:tblStyle w:val="TableGrid"/>
        <w:tblW w:w="0" w:type="auto"/>
        <w:jc w:val="center"/>
        <w:tblLook w:val="04A0" w:firstRow="1" w:lastRow="0" w:firstColumn="1" w:lastColumn="0" w:noHBand="0" w:noVBand="1"/>
      </w:tblPr>
      <w:tblGrid>
        <w:gridCol w:w="2608"/>
        <w:gridCol w:w="2835"/>
        <w:gridCol w:w="3061"/>
      </w:tblGrid>
      <w:tr w:rsidR="00FD7927" w:rsidRPr="00EE7F84" w14:paraId="61CE668D" w14:textId="77777777">
        <w:trPr>
          <w:jc w:val="center"/>
        </w:trPr>
        <w:tc>
          <w:tcPr>
            <w:tcW w:w="2608" w:type="dxa"/>
            <w:shd w:val="clear" w:color="auto" w:fill="D9EAF0"/>
            <w:vAlign w:val="center"/>
          </w:tcPr>
          <w:p w14:paraId="26E2CADF"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AR</w:t>
            </w:r>
            <w:r w:rsidRPr="00EE7F84">
              <w:rPr>
                <w:rFonts w:ascii="Times New Roman" w:eastAsia="Times New Roman" w:hAnsi="Times New Roman" w:cs="Times New Roman"/>
                <w:color w:val="000000" w:themeColor="text1"/>
                <w:szCs w:val="20"/>
                <w:lang w:val="en-AU" w:eastAsia="zh-CN"/>
              </w:rPr>
              <w:t>I</w:t>
            </w:r>
            <w:r w:rsidRPr="00EE7F84">
              <w:rPr>
                <w:rFonts w:ascii="Times New Roman" w:eastAsia="Times New Roman" w:hAnsi="Times New Roman" w:cs="Times New Roman"/>
                <w:b/>
                <w:bCs/>
                <w:sz w:val="22"/>
                <w:lang w:val="en-AU"/>
              </w:rPr>
              <w:t>SE focus</w:t>
            </w:r>
          </w:p>
        </w:tc>
        <w:tc>
          <w:tcPr>
            <w:tcW w:w="2835" w:type="dxa"/>
            <w:shd w:val="clear" w:color="auto" w:fill="D9EAF0"/>
            <w:vAlign w:val="center"/>
          </w:tcPr>
          <w:p w14:paraId="658D843B"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Potential RTA theme</w:t>
            </w:r>
          </w:p>
        </w:tc>
        <w:tc>
          <w:tcPr>
            <w:tcW w:w="3061" w:type="dxa"/>
            <w:shd w:val="clear" w:color="auto" w:fill="D9EAF0"/>
            <w:vAlign w:val="center"/>
          </w:tcPr>
          <w:p w14:paraId="0116C69F"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Benchmarking reference</w:t>
            </w:r>
          </w:p>
        </w:tc>
      </w:tr>
      <w:tr w:rsidR="00FD7927" w:rsidRPr="00EE7F84" w14:paraId="5E1DF572" w14:textId="77777777">
        <w:trPr>
          <w:jc w:val="center"/>
        </w:trPr>
        <w:tc>
          <w:tcPr>
            <w:tcW w:w="2608" w:type="dxa"/>
          </w:tcPr>
          <w:p w14:paraId="4641102E"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Asset and risk visibility</w:t>
            </w:r>
          </w:p>
        </w:tc>
        <w:tc>
          <w:tcPr>
            <w:tcW w:w="2835" w:type="dxa"/>
          </w:tcPr>
          <w:p w14:paraId="49169BAA" w14:textId="34FC6C50"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 xml:space="preserve">Practicality for </w:t>
            </w:r>
            <w:r w:rsidR="00B335BA">
              <w:rPr>
                <w:rFonts w:ascii="Times New Roman" w:eastAsia="Times New Roman" w:hAnsi="Times New Roman" w:cs="Times New Roman"/>
                <w:sz w:val="22"/>
                <w:lang w:val="en-AU"/>
              </w:rPr>
              <w:t>small businesses</w:t>
            </w:r>
            <w:r w:rsidRPr="00EE7F84">
              <w:rPr>
                <w:rFonts w:ascii="Times New Roman" w:eastAsia="Times New Roman" w:hAnsi="Times New Roman" w:cs="Times New Roman"/>
                <w:sz w:val="22"/>
                <w:lang w:val="en-AU"/>
              </w:rPr>
              <w:t>; questionnaire burden</w:t>
            </w:r>
          </w:p>
        </w:tc>
        <w:tc>
          <w:tcPr>
            <w:tcW w:w="3061" w:type="dxa"/>
          </w:tcPr>
          <w:p w14:paraId="035E9244"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NIST Identify/Govern; SMB1001 asset and risk management; Essential Eight baseline controls.</w:t>
            </w:r>
          </w:p>
        </w:tc>
      </w:tr>
      <w:tr w:rsidR="00FD7927" w:rsidRPr="00EE7F84" w14:paraId="3149DF0C" w14:textId="77777777">
        <w:trPr>
          <w:jc w:val="center"/>
        </w:trPr>
        <w:tc>
          <w:tcPr>
            <w:tcW w:w="2608" w:type="dxa"/>
          </w:tcPr>
          <w:p w14:paraId="3E5DFFD7"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Cyber awareness</w:t>
            </w:r>
          </w:p>
        </w:tc>
        <w:tc>
          <w:tcPr>
            <w:tcW w:w="2835" w:type="dxa"/>
          </w:tcPr>
          <w:p w14:paraId="372CA463"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Usability; staff confidence; training need</w:t>
            </w:r>
          </w:p>
        </w:tc>
        <w:tc>
          <w:tcPr>
            <w:tcW w:w="3061" w:type="dxa"/>
          </w:tcPr>
          <w:p w14:paraId="46AB362B"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Essential Eight user application and access practices; SMB1001 security culture.</w:t>
            </w:r>
          </w:p>
        </w:tc>
      </w:tr>
      <w:tr w:rsidR="00FD7927" w:rsidRPr="00EE7F84" w14:paraId="7B0571BD" w14:textId="77777777">
        <w:trPr>
          <w:jc w:val="center"/>
        </w:trPr>
        <w:tc>
          <w:tcPr>
            <w:tcW w:w="2608" w:type="dxa"/>
          </w:tcPr>
          <w:p w14:paraId="79FE9783"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Network intrusion detection</w:t>
            </w:r>
          </w:p>
        </w:tc>
        <w:tc>
          <w:tcPr>
            <w:tcW w:w="2835" w:type="dxa"/>
          </w:tcPr>
          <w:p w14:paraId="370779B9"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Technical complexity; tool support</w:t>
            </w:r>
          </w:p>
        </w:tc>
        <w:tc>
          <w:tcPr>
            <w:tcW w:w="3061" w:type="dxa"/>
          </w:tcPr>
          <w:p w14:paraId="34D56EB9"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NIST Detect; ISO/IEC 27001 monitoring and operational controls.</w:t>
            </w:r>
          </w:p>
        </w:tc>
      </w:tr>
      <w:tr w:rsidR="00FD7927" w:rsidRPr="00EE7F84" w14:paraId="725DCBA0" w14:textId="77777777">
        <w:trPr>
          <w:jc w:val="center"/>
        </w:trPr>
        <w:tc>
          <w:tcPr>
            <w:tcW w:w="2608" w:type="dxa"/>
          </w:tcPr>
          <w:p w14:paraId="1AE96B41"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Incident response</w:t>
            </w:r>
          </w:p>
        </w:tc>
        <w:tc>
          <w:tcPr>
            <w:tcW w:w="2835" w:type="dxa"/>
          </w:tcPr>
          <w:p w14:paraId="07C45F61"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Unclear response process; role clarity</w:t>
            </w:r>
          </w:p>
        </w:tc>
        <w:tc>
          <w:tcPr>
            <w:tcW w:w="3061" w:type="dxa"/>
          </w:tcPr>
          <w:p w14:paraId="138BB9A6"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NIST Respond; SMB1001 response planning.</w:t>
            </w:r>
          </w:p>
        </w:tc>
      </w:tr>
      <w:tr w:rsidR="00FD7927" w:rsidRPr="00EE7F84" w14:paraId="738DAA00" w14:textId="77777777">
        <w:trPr>
          <w:jc w:val="center"/>
        </w:trPr>
        <w:tc>
          <w:tcPr>
            <w:tcW w:w="2608" w:type="dxa"/>
          </w:tcPr>
          <w:p w14:paraId="1359AD6B"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Recovery and retrospectives</w:t>
            </w:r>
          </w:p>
        </w:tc>
        <w:tc>
          <w:tcPr>
            <w:tcW w:w="2835" w:type="dxa"/>
          </w:tcPr>
          <w:p w14:paraId="725E91BF"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Learning orientation; continuous improvement</w:t>
            </w:r>
          </w:p>
        </w:tc>
        <w:tc>
          <w:tcPr>
            <w:tcW w:w="3061" w:type="dxa"/>
          </w:tcPr>
          <w:p w14:paraId="310A4F36"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NIST Recover; ISO/IEC 27001 continual improvement.</w:t>
            </w:r>
          </w:p>
        </w:tc>
      </w:tr>
      <w:tr w:rsidR="00FD7927" w:rsidRPr="00EE7F84" w14:paraId="1FC0E686" w14:textId="77777777">
        <w:trPr>
          <w:jc w:val="center"/>
        </w:trPr>
        <w:tc>
          <w:tcPr>
            <w:tcW w:w="2608" w:type="dxa"/>
          </w:tcPr>
          <w:p w14:paraId="1CBFA49C" w14:textId="77777777" w:rsidR="00FD7927" w:rsidRPr="00EE7F84" w:rsidRDefault="00000000">
            <w:pPr>
              <w:rPr>
                <w:rFonts w:ascii="Times New Roman" w:eastAsia="Times New Roman" w:hAnsi="Times New Roman" w:cs="Times New Roman"/>
                <w:b/>
                <w:bCs/>
                <w:sz w:val="22"/>
                <w:lang w:val="en-AU"/>
              </w:rPr>
            </w:pPr>
            <w:r w:rsidRPr="00EE7F84">
              <w:rPr>
                <w:rFonts w:ascii="Times New Roman" w:eastAsia="Times New Roman" w:hAnsi="Times New Roman" w:cs="Times New Roman"/>
                <w:b/>
                <w:bCs/>
                <w:sz w:val="22"/>
                <w:lang w:val="en-AU"/>
              </w:rPr>
              <w:t>Privacy and compliance</w:t>
            </w:r>
          </w:p>
        </w:tc>
        <w:tc>
          <w:tcPr>
            <w:tcW w:w="2835" w:type="dxa"/>
          </w:tcPr>
          <w:p w14:paraId="7F1AA9A5"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Trust and compliance</w:t>
            </w:r>
          </w:p>
        </w:tc>
        <w:tc>
          <w:tcPr>
            <w:tcW w:w="3061" w:type="dxa"/>
          </w:tcPr>
          <w:p w14:paraId="3CEB08E4" w14:textId="77777777" w:rsidR="00FD7927" w:rsidRPr="00EE7F84" w:rsidRDefault="00000000">
            <w:pPr>
              <w:rPr>
                <w:rFonts w:ascii="Times New Roman" w:eastAsia="Times New Roman" w:hAnsi="Times New Roman" w:cs="Times New Roman"/>
                <w:sz w:val="22"/>
                <w:lang w:val="en-AU"/>
              </w:rPr>
            </w:pPr>
            <w:r w:rsidRPr="00EE7F84">
              <w:rPr>
                <w:rFonts w:ascii="Times New Roman" w:eastAsia="Times New Roman" w:hAnsi="Times New Roman" w:cs="Times New Roman"/>
                <w:sz w:val="22"/>
                <w:lang w:val="en-AU"/>
              </w:rPr>
              <w:t>Australian Privacy Principles, GDPR principles, and data retention expectations where applicable.</w:t>
            </w:r>
          </w:p>
        </w:tc>
      </w:tr>
    </w:tbl>
    <w:p w14:paraId="46587866" w14:textId="77777777" w:rsidR="00FD7927" w:rsidRPr="00EE7F84" w:rsidRDefault="00FD7927">
      <w:pPr>
        <w:spacing w:after="40"/>
        <w:rPr>
          <w:lang w:val="en-AU"/>
        </w:rPr>
      </w:pPr>
    </w:p>
    <w:p w14:paraId="4B0FB31A" w14:textId="77777777" w:rsidR="00FD7927" w:rsidRPr="00EE7F84" w:rsidRDefault="00000000" w:rsidP="00EE7F84">
      <w:pPr>
        <w:spacing w:after="160" w:line="240" w:lineRule="auto"/>
        <w:rPr>
          <w:lang w:val="en-AU"/>
        </w:rPr>
      </w:pPr>
      <w:r w:rsidRPr="00EE7F84">
        <w:rPr>
          <w:rFonts w:ascii="Times New Roman" w:eastAsia="Times New Roman" w:hAnsi="Times New Roman" w:cs="Times New Roman"/>
          <w:b/>
          <w:bCs/>
          <w:sz w:val="28"/>
          <w:szCs w:val="28"/>
          <w:lang w:val="en-AU" w:eastAsia="zh-CN"/>
        </w:rPr>
        <w:t>9. Limitations and Future Field Validation</w:t>
      </w:r>
    </w:p>
    <w:p w14:paraId="3456C250" w14:textId="3CF60DF3"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The practical interpretive case is not a substitute for empirical field validation. It does not confirm the effectiveness, cost, timing, or adoption of ARISE across real </w:t>
      </w:r>
      <w:r w:rsidR="00B335BA">
        <w:rPr>
          <w:rFonts w:asciiTheme="majorBidi" w:hAnsiTheme="majorBidi" w:cstheme="majorBidi"/>
          <w:sz w:val="24"/>
          <w:szCs w:val="24"/>
          <w:lang w:val="en-AU"/>
        </w:rPr>
        <w:t>small business</w:t>
      </w:r>
      <w:r w:rsidRPr="00EE7F84">
        <w:rPr>
          <w:rFonts w:asciiTheme="majorBidi" w:hAnsiTheme="majorBidi" w:cstheme="majorBidi"/>
          <w:sz w:val="24"/>
          <w:szCs w:val="24"/>
          <w:lang w:val="en-AU"/>
        </w:rPr>
        <w:t xml:space="preserve"> environments. It provides a structured and transparent basis for positioning the framework, planning stakeholder feedback, and preparing future implementation studies.</w:t>
      </w:r>
    </w:p>
    <w:p w14:paraId="7F69570B" w14:textId="21436208"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Future work should apply ARISE with real </w:t>
      </w:r>
      <w:r w:rsidR="00B335BA">
        <w:rPr>
          <w:rFonts w:asciiTheme="majorBidi" w:hAnsiTheme="majorBidi" w:cstheme="majorBidi"/>
          <w:sz w:val="24"/>
          <w:szCs w:val="24"/>
          <w:lang w:val="en-AU"/>
        </w:rPr>
        <w:t>small business</w:t>
      </w:r>
      <w:r w:rsidRPr="00EE7F84">
        <w:rPr>
          <w:rFonts w:asciiTheme="majorBidi" w:hAnsiTheme="majorBidi" w:cstheme="majorBidi"/>
          <w:sz w:val="24"/>
          <w:szCs w:val="24"/>
          <w:lang w:val="en-AU"/>
        </w:rPr>
        <w:t xml:space="preserve"> participants and collect qualitative data through interviews, workshops, surveys, retrospective meetings, and expert review. These data can then be analysed through RTA to develop themes that refine the framework. Quantitative measures, such as maturity scores, detection performance, incident-response time, and recovery time, may also be added in later phases. However, these measures should complement rather than replace interpretive analysis.</w:t>
      </w:r>
    </w:p>
    <w:p w14:paraId="073D34FD" w14:textId="47D0A9BE" w:rsidR="00FD7927" w:rsidRPr="00EE7F84" w:rsidRDefault="00000000" w:rsidP="00EE7F84">
      <w:pPr>
        <w:spacing w:after="80" w:line="259" w:lineRule="auto"/>
        <w:ind w:firstLine="720"/>
        <w:jc w:val="both"/>
        <w:rPr>
          <w:rFonts w:asciiTheme="majorBidi" w:hAnsiTheme="majorBidi" w:cstheme="majorBidi"/>
          <w:sz w:val="24"/>
          <w:szCs w:val="24"/>
          <w:lang w:val="en-AU"/>
        </w:rPr>
      </w:pPr>
      <w:r w:rsidRPr="00EE7F84">
        <w:rPr>
          <w:rFonts w:asciiTheme="majorBidi" w:hAnsiTheme="majorBidi" w:cstheme="majorBidi"/>
          <w:sz w:val="24"/>
          <w:szCs w:val="24"/>
          <w:lang w:val="en-AU"/>
        </w:rPr>
        <w:t xml:space="preserve">Overall, the practical interpretive case suggests that ARISE can provide </w:t>
      </w:r>
      <w:r w:rsidR="00B335BA">
        <w:rPr>
          <w:rFonts w:asciiTheme="majorBidi" w:hAnsiTheme="majorBidi" w:cstheme="majorBidi"/>
          <w:sz w:val="24"/>
          <w:szCs w:val="24"/>
          <w:lang w:val="en-AU"/>
        </w:rPr>
        <w:t>small businesses</w:t>
      </w:r>
      <w:r w:rsidRPr="00EE7F84">
        <w:rPr>
          <w:rFonts w:asciiTheme="majorBidi" w:hAnsiTheme="majorBidi" w:cstheme="majorBidi"/>
          <w:sz w:val="24"/>
          <w:szCs w:val="24"/>
          <w:lang w:val="en-AU"/>
        </w:rPr>
        <w:t xml:space="preserve"> with a structured and realistic pathway for improving cyber resilience. Its value lies in combining practical </w:t>
      </w:r>
      <w:r w:rsidRPr="00EE7F84">
        <w:rPr>
          <w:rFonts w:asciiTheme="majorBidi" w:hAnsiTheme="majorBidi" w:cstheme="majorBidi"/>
          <w:sz w:val="24"/>
          <w:szCs w:val="24"/>
          <w:lang w:val="en-AU"/>
        </w:rPr>
        <w:lastRenderedPageBreak/>
        <w:t xml:space="preserve">cybersecurity planning, network intrusion detection, incident response, recovery, and retrospective learning within an agile lifecycle. The next stage is to test, refine, and benchmark the framework with real </w:t>
      </w:r>
      <w:r w:rsidR="00B335BA">
        <w:rPr>
          <w:rFonts w:asciiTheme="majorBidi" w:hAnsiTheme="majorBidi" w:cstheme="majorBidi"/>
          <w:sz w:val="24"/>
          <w:szCs w:val="24"/>
          <w:lang w:val="en-AU"/>
        </w:rPr>
        <w:t>small business</w:t>
      </w:r>
      <w:r w:rsidRPr="00EE7F84">
        <w:rPr>
          <w:rFonts w:asciiTheme="majorBidi" w:hAnsiTheme="majorBidi" w:cstheme="majorBidi"/>
          <w:sz w:val="24"/>
          <w:szCs w:val="24"/>
          <w:lang w:val="en-AU"/>
        </w:rPr>
        <w:t xml:space="preserve"> stakeholders while maintaining methodological transparency and reflexive interpretation.</w:t>
      </w:r>
    </w:p>
    <w:p w14:paraId="3F09A37E" w14:textId="77777777" w:rsidR="00EE7F84" w:rsidRPr="00EE7F84" w:rsidRDefault="00EE7F84">
      <w:pPr>
        <w:spacing w:after="80" w:line="259" w:lineRule="auto"/>
        <w:ind w:firstLine="255"/>
        <w:jc w:val="both"/>
        <w:rPr>
          <w:lang w:val="en-AU"/>
        </w:rPr>
      </w:pPr>
    </w:p>
    <w:sectPr w:rsidR="00EE7F84" w:rsidRPr="00EE7F84"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16E8DB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3B735F"/>
    <w:multiLevelType w:val="hybridMultilevel"/>
    <w:tmpl w:val="95427F24"/>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0" w15:restartNumberingAfterBreak="0">
    <w:nsid w:val="5189300C"/>
    <w:multiLevelType w:val="hybridMultilevel"/>
    <w:tmpl w:val="E57C85FC"/>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num w:numId="1" w16cid:durableId="1139151672">
    <w:abstractNumId w:val="8"/>
  </w:num>
  <w:num w:numId="2" w16cid:durableId="1688946549">
    <w:abstractNumId w:val="6"/>
  </w:num>
  <w:num w:numId="3" w16cid:durableId="2025863497">
    <w:abstractNumId w:val="5"/>
  </w:num>
  <w:num w:numId="4" w16cid:durableId="1605573741">
    <w:abstractNumId w:val="4"/>
  </w:num>
  <w:num w:numId="5" w16cid:durableId="483855797">
    <w:abstractNumId w:val="7"/>
  </w:num>
  <w:num w:numId="6" w16cid:durableId="1456562777">
    <w:abstractNumId w:val="3"/>
  </w:num>
  <w:num w:numId="7" w16cid:durableId="314526754">
    <w:abstractNumId w:val="2"/>
  </w:num>
  <w:num w:numId="8" w16cid:durableId="1551184720">
    <w:abstractNumId w:val="1"/>
  </w:num>
  <w:num w:numId="9" w16cid:durableId="1354648037">
    <w:abstractNumId w:val="0"/>
  </w:num>
  <w:num w:numId="10" w16cid:durableId="1060714307">
    <w:abstractNumId w:val="9"/>
  </w:num>
  <w:num w:numId="11" w16cid:durableId="17884986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608"/>
    <w:rsid w:val="0029639D"/>
    <w:rsid w:val="00326F90"/>
    <w:rsid w:val="00AA1D8D"/>
    <w:rsid w:val="00B335BA"/>
    <w:rsid w:val="00B47730"/>
    <w:rsid w:val="00CB0664"/>
    <w:rsid w:val="00EC755F"/>
    <w:rsid w:val="00EE7F84"/>
    <w:rsid w:val="00FC693F"/>
    <w:rsid w:val="00FD79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8ED2F"/>
  <w14:defaultImageDpi w14:val="300"/>
  <w15:docId w15:val="{9F6FE213-4D60-7444-A6ED-79EFD1F35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3657</Words>
  <Characters>20845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Turen, Hurol</cp:lastModifiedBy>
  <cp:revision>2</cp:revision>
  <dcterms:created xsi:type="dcterms:W3CDTF">2013-12-23T23:15:00Z</dcterms:created>
  <dcterms:modified xsi:type="dcterms:W3CDTF">2026-06-04T18:53:00Z</dcterms:modified>
  <cp:category/>
</cp:coreProperties>
</file>