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FREELANCE AGREEMENT</w:t>
      </w:r>
    </w:p>
    <w:p>
      <w:pPr>
        <w:jc w:val="center"/>
      </w:pPr>
      <w:r>
        <w:rPr>
          <w:b/>
          <w:sz w:val="26"/>
        </w:rPr>
        <w:t>Testing Scenarios</w:t>
      </w:r>
    </w:p>
    <w:p>
      <w:r>
        <w:t>The Freelance Agreement category covers Graphic Designer Agreement and Software Freelancer Agreement. The testing areas are work scope, payment, deadlines, and ownership.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Contract 1</w:t>
            </w:r>
          </w:p>
        </w:tc>
        <w:tc>
          <w:tcPr>
            <w:tcW w:type="dxa" w:w="2556"/>
          </w:tcPr>
          <w:p>
            <w:r>
              <w:rPr>
                <w:b/>
              </w:rPr>
              <w:t>Contract 2</w:t>
            </w:r>
          </w:p>
        </w:tc>
        <w:tc>
          <w:tcPr>
            <w:tcW w:type="dxa" w:w="2556"/>
          </w:tcPr>
          <w:p>
            <w:r>
              <w:rPr>
                <w:b/>
              </w:rPr>
              <w:t>What We Can Test</w:t>
            </w:r>
          </w:p>
        </w:tc>
      </w:tr>
      <w:tr>
        <w:tc>
          <w:tcPr>
            <w:tcW w:type="dxa" w:w="2556"/>
          </w:tcPr>
          <w:p>
            <w:r>
              <w:t>Freelance Agreement</w:t>
            </w:r>
          </w:p>
        </w:tc>
        <w:tc>
          <w:tcPr>
            <w:tcW w:type="dxa" w:w="2556"/>
          </w:tcPr>
          <w:p>
            <w:r>
              <w:t>Graphic Designer Agreement</w:t>
            </w:r>
          </w:p>
        </w:tc>
        <w:tc>
          <w:tcPr>
            <w:tcW w:type="dxa" w:w="2556"/>
          </w:tcPr>
          <w:p>
            <w:r>
              <w:t>Software Freelancer Agreement</w:t>
            </w:r>
          </w:p>
        </w:tc>
        <w:tc>
          <w:tcPr>
            <w:tcW w:type="dxa" w:w="2556"/>
          </w:tcPr>
          <w:p>
            <w:r>
              <w:t>Work scope, payment, deadlines, ownership</w:t>
            </w:r>
          </w:p>
        </w:tc>
      </w:tr>
    </w:tbl>
    <w:p/>
    <w:p>
      <w:pPr>
        <w:pStyle w:val="Heading1"/>
      </w:pPr>
      <w:r>
        <w:rPr>
          <w:sz w:val="28"/>
        </w:rPr>
        <w:t>1. Graphic Designer Agreement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Testing Scenario</w:t>
            </w:r>
          </w:p>
        </w:tc>
        <w:tc>
          <w:tcPr>
            <w:tcW w:type="dxa" w:w="5112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60" w:before="0"/>
            </w:pPr>
            <w:r>
              <w:rPr>
                <w:sz w:val="21"/>
              </w:rPr>
              <w:t>Positive – Work Scope: The Graphic Designer Agreement clearly defines the design services and deliverables expected from the freelancer.</w:t>
            </w:r>
          </w:p>
        </w:tc>
        <w:tc>
          <w:tcPr>
            <w:tcW w:type="dxa" w:w="5112"/>
            <w:vAlign w:val="top"/>
          </w:tcPr>
          <w:p>
            <w:pPr>
              <w:spacing w:after="60" w:before="0"/>
            </w:pPr>
            <w:r>
              <w:rPr>
                <w:sz w:val="21"/>
              </w:rPr>
              <w:t>The application correctly identifies and summarizes the agreed work scope and deliverables.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60" w:before="0"/>
            </w:pPr>
            <w:r>
              <w:rPr>
                <w:sz w:val="21"/>
              </w:rPr>
              <w:t>Negative – Work Scope: The Graphic Designer Agreement does not clearly define the services or deliverables.</w:t>
            </w:r>
          </w:p>
        </w:tc>
        <w:tc>
          <w:tcPr>
            <w:tcW w:type="dxa" w:w="5112"/>
            <w:vAlign w:val="top"/>
          </w:tcPr>
          <w:p>
            <w:pPr>
              <w:spacing w:after="60" w:before="0"/>
            </w:pPr>
            <w:r>
              <w:rPr>
                <w:sz w:val="21"/>
              </w:rPr>
              <w:t>The application reports that the work scope is missing or insufficiently defined.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60" w:before="0"/>
            </w:pPr>
            <w:r>
              <w:rPr>
                <w:sz w:val="21"/>
              </w:rPr>
              <w:t>Positive – Payment: The Graphic Designer Agreement clearly states the agreed payment amount and payment terms.</w:t>
            </w:r>
          </w:p>
        </w:tc>
        <w:tc>
          <w:tcPr>
            <w:tcW w:type="dxa" w:w="5112"/>
            <w:vAlign w:val="top"/>
          </w:tcPr>
          <w:p>
            <w:pPr>
              <w:spacing w:after="60" w:before="0"/>
            </w:pPr>
            <w:r>
              <w:rPr>
                <w:sz w:val="21"/>
              </w:rPr>
              <w:t>The application correctly extracts the payment amount and payment conditions.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60" w:before="0"/>
            </w:pPr>
            <w:r>
              <w:rPr>
                <w:sz w:val="21"/>
              </w:rPr>
              <w:t>Negative – Payment: The Graphic Designer Agreement contains inconsistent payment amounts in different clauses.</w:t>
            </w:r>
          </w:p>
        </w:tc>
        <w:tc>
          <w:tcPr>
            <w:tcW w:type="dxa" w:w="5112"/>
            <w:vAlign w:val="top"/>
          </w:tcPr>
          <w:p>
            <w:pPr>
              <w:spacing w:after="60" w:before="0"/>
            </w:pPr>
            <w:r>
              <w:rPr>
                <w:sz w:val="21"/>
              </w:rPr>
              <w:t>The application identifies and flags the conflicting payment information.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60" w:before="0"/>
            </w:pPr>
            <w:r>
              <w:rPr>
                <w:sz w:val="21"/>
              </w:rPr>
              <w:t>Positive – Deadlines: The Graphic Designer Agreement specifies a deadline for completing the design work.</w:t>
            </w:r>
          </w:p>
        </w:tc>
        <w:tc>
          <w:tcPr>
            <w:tcW w:type="dxa" w:w="5112"/>
            <w:vAlign w:val="top"/>
          </w:tcPr>
          <w:p>
            <w:pPr>
              <w:spacing w:after="60" w:before="0"/>
            </w:pPr>
            <w:r>
              <w:rPr>
                <w:sz w:val="21"/>
              </w:rPr>
              <w:t>The application correctly identifies the stated deadline.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60" w:before="0"/>
            </w:pPr>
            <w:r>
              <w:rPr>
                <w:sz w:val="21"/>
              </w:rPr>
              <w:t>Negative – Deadlines: The Graphic Designer Agreement uses vague wording such as “within a reasonable time” without a specific deadline.</w:t>
            </w:r>
          </w:p>
        </w:tc>
        <w:tc>
          <w:tcPr>
            <w:tcW w:type="dxa" w:w="5112"/>
            <w:vAlign w:val="top"/>
          </w:tcPr>
          <w:p>
            <w:pPr>
              <w:spacing w:after="60" w:before="0"/>
            </w:pPr>
            <w:r>
              <w:rPr>
                <w:sz w:val="21"/>
              </w:rPr>
              <w:t>The application flags the deadline as unclear or insufficiently defined.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60" w:before="0"/>
            </w:pPr>
            <w:r>
              <w:rPr>
                <w:sz w:val="21"/>
              </w:rPr>
              <w:t>Positive – Ownership: The Graphic Designer Agreement clearly states who owns the completed designs after the agreed conditions are met.</w:t>
            </w:r>
          </w:p>
        </w:tc>
        <w:tc>
          <w:tcPr>
            <w:tcW w:type="dxa" w:w="5112"/>
            <w:vAlign w:val="top"/>
          </w:tcPr>
          <w:p>
            <w:pPr>
              <w:spacing w:after="60" w:before="0"/>
            </w:pPr>
            <w:r>
              <w:rPr>
                <w:sz w:val="21"/>
              </w:rPr>
              <w:t>The application correctly identifies the ownership terms and any stated condition for transfer.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60" w:before="0"/>
            </w:pPr>
            <w:r>
              <w:rPr>
                <w:sz w:val="21"/>
              </w:rPr>
              <w:t>Negative – Ownership: The Graphic Designer Agreement does not specify ownership of the completed designs.</w:t>
            </w:r>
          </w:p>
        </w:tc>
        <w:tc>
          <w:tcPr>
            <w:tcW w:type="dxa" w:w="5112"/>
            <w:vAlign w:val="top"/>
          </w:tcPr>
          <w:p>
            <w:pPr>
              <w:spacing w:after="60" w:before="0"/>
            </w:pPr>
            <w:r>
              <w:rPr>
                <w:sz w:val="21"/>
              </w:rPr>
              <w:t>The application flags the missing ownership information and does not assume ownership.</w:t>
            </w:r>
          </w:p>
        </w:tc>
      </w:tr>
    </w:tbl>
    <w:p/>
    <w:p>
      <w:pPr>
        <w:pStyle w:val="Heading1"/>
      </w:pPr>
      <w:r>
        <w:rPr>
          <w:sz w:val="28"/>
        </w:rPr>
        <w:t>2. Software Freelancer Agreement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Testing Scenario</w:t>
            </w:r>
          </w:p>
        </w:tc>
        <w:tc>
          <w:tcPr>
            <w:tcW w:type="dxa" w:w="5112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60" w:before="0"/>
            </w:pPr>
            <w:r>
              <w:rPr>
                <w:sz w:val="21"/>
              </w:rPr>
              <w:t>Positive – Work Scope: The Software Freelancer Agreement clearly lists the software development work, features, or deliverables to be completed.</w:t>
            </w:r>
          </w:p>
        </w:tc>
        <w:tc>
          <w:tcPr>
            <w:tcW w:type="dxa" w:w="5112"/>
            <w:vAlign w:val="top"/>
          </w:tcPr>
          <w:p>
            <w:pPr>
              <w:spacing w:after="60" w:before="0"/>
            </w:pPr>
            <w:r>
              <w:rPr>
                <w:sz w:val="21"/>
              </w:rPr>
              <w:t>The application correctly identifies and summarizes the development scope and deliverables.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60" w:before="0"/>
            </w:pPr>
            <w:r>
              <w:rPr>
                <w:sz w:val="21"/>
              </w:rPr>
              <w:t>Negative – Work Scope: The Software Freelancer Agreement allows additional features or work without defining how work outside the agreed scope will be handled.</w:t>
            </w:r>
          </w:p>
        </w:tc>
        <w:tc>
          <w:tcPr>
            <w:tcW w:type="dxa" w:w="5112"/>
            <w:vAlign w:val="top"/>
          </w:tcPr>
          <w:p>
            <w:pPr>
              <w:spacing w:after="60" w:before="0"/>
            </w:pPr>
            <w:r>
              <w:rPr>
                <w:sz w:val="21"/>
              </w:rPr>
              <w:t>The application identifies and flags the ambiguity regarding additional work.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60" w:before="0"/>
            </w:pPr>
            <w:r>
              <w:rPr>
                <w:sz w:val="21"/>
              </w:rPr>
              <w:t>Positive – Payment: The Software Freelancer Agreement clearly specifies the freelancer’s payment amount or payment milestones.</w:t>
            </w:r>
          </w:p>
        </w:tc>
        <w:tc>
          <w:tcPr>
            <w:tcW w:type="dxa" w:w="5112"/>
            <w:vAlign w:val="top"/>
          </w:tcPr>
          <w:p>
            <w:pPr>
              <w:spacing w:after="60" w:before="0"/>
            </w:pPr>
            <w:r>
              <w:rPr>
                <w:sz w:val="21"/>
              </w:rPr>
              <w:t>The application correctly extracts the payment amount and applicable payment terms.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60" w:before="0"/>
            </w:pPr>
            <w:r>
              <w:rPr>
                <w:sz w:val="21"/>
              </w:rPr>
              <w:t>Negative – Payment: The Software Freelancer Agreement contains a total project fee that does not match the listed payment amounts.</w:t>
            </w:r>
          </w:p>
        </w:tc>
        <w:tc>
          <w:tcPr>
            <w:tcW w:type="dxa" w:w="5112"/>
            <w:vAlign w:val="top"/>
          </w:tcPr>
          <w:p>
            <w:pPr>
              <w:spacing w:after="60" w:before="0"/>
            </w:pPr>
            <w:r>
              <w:rPr>
                <w:sz w:val="21"/>
              </w:rPr>
              <w:t>The application detects and flags the inconsistency in the payment terms.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60" w:before="0"/>
            </w:pPr>
            <w:r>
              <w:rPr>
                <w:sz w:val="21"/>
              </w:rPr>
              <w:t>Positive – Deadlines: The Software Freelancer Agreement specifies deadlines for development, testing, or final delivery.</w:t>
            </w:r>
          </w:p>
        </w:tc>
        <w:tc>
          <w:tcPr>
            <w:tcW w:type="dxa" w:w="5112"/>
            <w:vAlign w:val="top"/>
          </w:tcPr>
          <w:p>
            <w:pPr>
              <w:spacing w:after="60" w:before="0"/>
            </w:pPr>
            <w:r>
              <w:rPr>
                <w:sz w:val="21"/>
              </w:rPr>
              <w:t>The application correctly identifies the stated deadlines and their related milestones.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60" w:before="0"/>
            </w:pPr>
            <w:r>
              <w:rPr>
                <w:sz w:val="21"/>
              </w:rPr>
              <w:t>Negative – Deadlines: The Software Freelancer Agreement contains different deadlines for the same project completion requirement.</w:t>
            </w:r>
          </w:p>
        </w:tc>
        <w:tc>
          <w:tcPr>
            <w:tcW w:type="dxa" w:w="5112"/>
            <w:vAlign w:val="top"/>
          </w:tcPr>
          <w:p>
            <w:pPr>
              <w:spacing w:after="60" w:before="0"/>
            </w:pPr>
            <w:r>
              <w:rPr>
                <w:sz w:val="21"/>
              </w:rPr>
              <w:t>The application detects and flags the conflicting deadlines.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60" w:before="0"/>
            </w:pPr>
            <w:r>
              <w:rPr>
                <w:sz w:val="21"/>
              </w:rPr>
              <w:t>Positive – Ownership: The Software Freelancer Agreement clearly states ownership of the custom software or source code and any condition for transfer.</w:t>
            </w:r>
          </w:p>
        </w:tc>
        <w:tc>
          <w:tcPr>
            <w:tcW w:type="dxa" w:w="5112"/>
            <w:vAlign w:val="top"/>
          </w:tcPr>
          <w:p>
            <w:pPr>
              <w:spacing w:after="60" w:before="0"/>
            </w:pPr>
            <w:r>
              <w:rPr>
                <w:sz w:val="21"/>
              </w:rPr>
              <w:t>The application correctly identifies the ownership terms and transfer condition.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60" w:before="0"/>
            </w:pPr>
            <w:r>
              <w:rPr>
                <w:sz w:val="21"/>
              </w:rPr>
              <w:t>Negative – Ownership: The Software Freelancer Agreement contains no clear ownership clause for the source code.</w:t>
            </w:r>
          </w:p>
        </w:tc>
        <w:tc>
          <w:tcPr>
            <w:tcW w:type="dxa" w:w="5112"/>
            <w:vAlign w:val="top"/>
          </w:tcPr>
          <w:p>
            <w:pPr>
              <w:spacing w:after="60" w:before="0"/>
            </w:pPr>
            <w:r>
              <w:rPr>
                <w:sz w:val="21"/>
              </w:rPr>
              <w:t>The application flags the missing ownership/IP information and does not assume ownership.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60" w:before="0"/>
            </w:pPr>
            <w:r>
              <w:rPr>
                <w:sz w:val="21"/>
              </w:rPr>
              <w:t>Positive – Ownership: The Software Freelancer Agreement distinguishes between custom work created for the client and pre-existing freelancer materials.</w:t>
            </w:r>
          </w:p>
        </w:tc>
        <w:tc>
          <w:tcPr>
            <w:tcW w:type="dxa" w:w="5112"/>
            <w:vAlign w:val="top"/>
          </w:tcPr>
          <w:p>
            <w:pPr>
              <w:spacing w:after="60" w:before="0"/>
            </w:pPr>
            <w:r>
              <w:rPr>
                <w:sz w:val="21"/>
              </w:rPr>
              <w:t>The application correctly distinguishes the different ownership rights.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60" w:before="0"/>
            </w:pPr>
            <w:r>
              <w:rPr>
                <w:sz w:val="21"/>
              </w:rPr>
              <w:t>Negative – Ownership: The Software Freelancer Agreement contains conflicting conditions regarding when source-code ownership transfers.</w:t>
            </w:r>
          </w:p>
        </w:tc>
        <w:tc>
          <w:tcPr>
            <w:tcW w:type="dxa" w:w="5112"/>
            <w:vAlign w:val="top"/>
          </w:tcPr>
          <w:p>
            <w:pPr>
              <w:spacing w:after="60" w:before="0"/>
            </w:pPr>
            <w:r>
              <w:rPr>
                <w:sz w:val="21"/>
              </w:rPr>
              <w:t>The application identifies and flags the conflicting ownership terms.</w:t>
            </w:r>
          </w:p>
        </w:tc>
      </w:tr>
    </w:tbl>
    <w:p/>
    <w:p>
      <w:pPr>
        <w:pStyle w:val="Heading1"/>
      </w:pPr>
      <w:r>
        <w:rPr>
          <w:sz w:val="28"/>
        </w:rPr>
        <w:t>PASS / FAIL Criteria</w:t>
      </w:r>
    </w:p>
    <w:p>
      <w:r>
        <w:t>PASS: The actual application behavior matches the expected result and the output is acceptable according to the defined requirement.</w:t>
      </w:r>
    </w:p>
    <w:p>
      <w:r>
        <w:t>FAIL: The actual behavior differs from the expected result, an important clause is missed, or the AI produces materially incorrect or unsupported output.</w:t>
      </w:r>
    </w:p>
    <w:p>
      <w:pPr>
        <w:pStyle w:val="Heading1"/>
      </w:pPr>
      <w:r>
        <w:rPr>
          <w:sz w:val="28"/>
        </w:rPr>
        <w:t>Final Testing Flow</w:t>
      </w:r>
    </w:p>
    <w:p>
      <w:r>
        <w:t>Requirements → Test Case Design → Test Execution → PASS/FAIL → Bug Report (if failed) → Developer Fix → Retest → Regression Testing → Final Validation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Freelance Agreement — Testing Phase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