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ubik" w:cs="Rubik" w:eastAsia="Rubik" w:hAnsi="Rubik"/>
        </w:rPr>
      </w:pPr>
      <w:bookmarkStart w:colFirst="0" w:colLast="0" w:name="_k7ny03a07prg" w:id="0"/>
      <w:bookmarkEnd w:id="0"/>
      <w:r w:rsidDel="00000000" w:rsidR="00000000" w:rsidRPr="00000000">
        <w:rPr>
          <w:rFonts w:ascii="Rubik" w:cs="Rubik" w:eastAsia="Rubik" w:hAnsi="Rubik"/>
          <w:b w:val="0"/>
          <w:color w:val="333333"/>
          <w:sz w:val="32"/>
          <w:szCs w:val="32"/>
          <w:rtl w:val="0"/>
        </w:rPr>
        <w:t xml:space="preserve">WOW CarShare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highlight w:val="yellow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Before using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WOW CarShare</w:t>
      </w:r>
      <w:r w:rsidDel="00000000" w:rsidR="00000000" w:rsidRPr="00000000">
        <w:rPr>
          <w:rFonts w:ascii="Rubik" w:cs="Rubik" w:eastAsia="Rubik" w:hAnsi="Rubik"/>
          <w:rtl w:val="0"/>
        </w:rPr>
        <w:t xml:space="preserve">, you must carefully read and agree to the </w:t>
      </w:r>
      <w:hyperlink r:id="rId6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and </w:t>
      </w:r>
      <w:hyperlink r:id="rId7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Fonts w:ascii="Rubik" w:cs="Rubik" w:eastAsia="Rubik" w:hAnsi="Rubik"/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following links are for documents related to the CarShare program: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8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9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0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1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color w:val="333333"/>
          <w:highlight w:val="yellow"/>
        </w:rPr>
      </w:pPr>
      <w:hyperlink r:id="rId12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Insurance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right="0" w:hanging="360"/>
        <w:rPr>
          <w:rFonts w:ascii="Rubik" w:cs="Rubik" w:eastAsia="Rubik" w:hAnsi="Rubik"/>
          <w:highlight w:val="yellow"/>
        </w:rPr>
      </w:pPr>
      <w:hyperlink r:id="rId13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4">
        <w:r w:rsidDel="00000000" w:rsidR="00000000" w:rsidRPr="00000000">
          <w:rPr>
            <w:rFonts w:ascii="Rubik" w:cs="Rubik" w:eastAsia="Rubik" w:hAnsi="Rubik"/>
            <w:color w:val="1155cc"/>
            <w:highlight w:val="yellow"/>
            <w:u w:val="single"/>
            <w:rtl w:val="0"/>
          </w:rPr>
          <w:t xml:space="preserve">Glossary of Terms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270" w:top="360" w:left="1080" w:right="108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b w:val="1"/>
        <w:color w:val="cc0000"/>
        <w:sz w:val="30"/>
        <w:szCs w:val="3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76200</wp:posOffset>
          </wp:positionH>
          <wp:positionV relativeFrom="page">
            <wp:posOffset>110945</wp:posOffset>
          </wp:positionV>
          <wp:extent cx="1647487" cy="27908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487" cy="279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cc0000"/>
        <w:sz w:val="28"/>
        <w:szCs w:val="28"/>
        <w:rtl w:val="0"/>
      </w:rPr>
      <w:t xml:space="preserve">Documentation &gt; Mondofi Car Share</w:t>
    </w:r>
    <w:r w:rsidDel="00000000" w:rsidR="00000000" w:rsidRPr="00000000">
      <w:rPr>
        <w:color w:val="cc0000"/>
        <w:sz w:val="20"/>
        <w:szCs w:val="20"/>
        <w:rtl w:val="0"/>
      </w:rPr>
      <w:tab/>
      <w:tab/>
      <w:tab/>
      <w:t xml:space="preserve">          </w:t>
      <w:tab/>
      <w:tab/>
    </w:r>
    <w:r w:rsidDel="00000000" w:rsidR="00000000" w:rsidRPr="00000000">
      <w:rPr>
        <w:color w:val="cc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ew.officeapps.live.com/op/view.aspx?src=https%3A%2F%2Fraw.githubusercontent.com%2FHurt-Herzing%2FWOW%2Fmain%2FWOW_13_CarShare_RateSchedule.docx&amp;wdOrigin=BROWSELINK" TargetMode="External"/><Relationship Id="rId10" Type="http://schemas.openxmlformats.org/officeDocument/2006/relationships/hyperlink" Target="https://view.officeapps.live.com/op/view.aspx?src=https%3A%2F%2Fraw.githubusercontent.com%2FHurt-Herzing%2FWOW%2Fmain%2FWOW_14_CarShare_UserGuide_PreTripInfo%2520(1).docx&amp;wdOrigin=BROWSELINK" TargetMode="External"/><Relationship Id="rId13" Type="http://schemas.openxmlformats.org/officeDocument/2006/relationships/hyperlink" Target="https://view.officeapps.live.com/op/view.aspx?src=https%3A%2F%2Fraw.githubusercontent.com%2FHurt-Herzing%2FWOW%2Fmain%2FWOW_11_CarShare_FAQ_EVF092823%2520(1).docx&amp;wdOrigin=BROWSELINK" TargetMode="External"/><Relationship Id="rId12" Type="http://schemas.openxmlformats.org/officeDocument/2006/relationships/hyperlink" Target="https://view.officeapps.live.com/op/view.aspx?src=https%3A%2F%2Fraw.githubusercontent.com%2FHurt-Herzing%2FWOW%2Fmain%2FWOW_10_CarShare_InsuranceInfo_EVF092723.docx&amp;wdOrigin=BROWSE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ew.officeapps.live.com/op/view.aspx?src=https%3A%2F%2Fraw.githubusercontent.com%2FHurt-Herzing%2FWOW%2Fmain%2FWOW_02_%2526_09_CarShare_Privacy_Policy_EVF92623.docx&amp;wdOrigin=BROWSELINK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view.officeapps.live.com/op/view.aspx?src=https%3A%2F%2Fraw.githubusercontent.com%2FHurt-Herzing%2FWOW%2Fmain%2FWOW_12_CarShare_Glossary_EVF092723.docx&amp;wdOrigin=BROWSE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view.officeapps.live.com/op/view.aspx?src=https%3A%2F%2Fraw.githubusercontent.com%2FHurt-Herzing%2FWOW%2Fmain%2FWOW_08_CarShare_Terms%2526Conditions_EVF092723.docx&amp;wdOrigin=BROWSELINK" TargetMode="External"/><Relationship Id="rId7" Type="http://schemas.openxmlformats.org/officeDocument/2006/relationships/hyperlink" Target="https://view.officeapps.live.com/op/view.aspx?src=https%3A%2F%2Fraw.githubusercontent.com%2FHurt-Herzing%2FWOW%2Fmain%2FWOW_02_%2526_09_CarShare_Privacy_Policy_EVF92623.docx&amp;wdOrigin=BROWSELINK" TargetMode="External"/><Relationship Id="rId8" Type="http://schemas.openxmlformats.org/officeDocument/2006/relationships/hyperlink" Target="https://view.officeapps.live.com/op/view.aspx?src=https%3A%2F%2Fraw.githubusercontent.com%2FHurt-Herzing%2FWOW%2Fmain%2FWOW_08_CarShare_Terms%2526Conditions_EVF092723.docx&amp;wdOrigin=BROWSE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