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ubik" w:cs="Rubik" w:eastAsia="Rubik" w:hAnsi="Rubik"/>
        </w:rPr>
      </w:pPr>
      <w:bookmarkStart w:colFirst="0" w:colLast="0" w:name="_k7ny03a07prg" w:id="0"/>
      <w:bookmarkEnd w:id="0"/>
      <w:r w:rsidDel="00000000" w:rsidR="00000000" w:rsidRPr="00000000">
        <w:rPr>
          <w:rFonts w:ascii="Rubik" w:cs="Rubik" w:eastAsia="Rubik" w:hAnsi="Rubik"/>
          <w:b w:val="0"/>
          <w:color w:val="333333"/>
          <w:sz w:val="32"/>
          <w:szCs w:val="32"/>
          <w:rtl w:val="0"/>
        </w:rPr>
        <w:t xml:space="preserve">WOW CarShare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highlight w:val="yellow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Before using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WOW CarShare</w:t>
      </w:r>
      <w:r w:rsidDel="00000000" w:rsidR="00000000" w:rsidRPr="00000000">
        <w:rPr>
          <w:rFonts w:ascii="Rubik" w:cs="Rubik" w:eastAsia="Rubik" w:hAnsi="Rubik"/>
          <w:rtl w:val="0"/>
        </w:rPr>
        <w:t xml:space="preserve">, you must carefully read and agree to the </w:t>
      </w:r>
      <w:hyperlink r:id="rId6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 and </w:t>
      </w:r>
      <w:hyperlink r:id="rId7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Fonts w:ascii="Rubik" w:cs="Rubik" w:eastAsia="Rubik" w:hAnsi="Rubik"/>
          <w:highlight w:val="yellow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following links are for documents related to the CarShare program: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8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9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0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1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color w:val="333333"/>
          <w:highlight w:val="yellow"/>
        </w:rPr>
      </w:pPr>
      <w:hyperlink r:id="rId12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Insurance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right="0" w:hanging="360"/>
        <w:rPr>
          <w:rFonts w:ascii="Rubik" w:cs="Rubik" w:eastAsia="Rubik" w:hAnsi="Rubik"/>
          <w:highlight w:val="yellow"/>
        </w:rPr>
      </w:pPr>
      <w:hyperlink r:id="rId13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4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Glossary of Terms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270" w:top="360" w:left="1080" w:right="108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b w:val="1"/>
        <w:color w:val="cc0000"/>
        <w:sz w:val="30"/>
        <w:szCs w:val="30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76200</wp:posOffset>
          </wp:positionH>
          <wp:positionV relativeFrom="page">
            <wp:posOffset>110945</wp:posOffset>
          </wp:positionV>
          <wp:extent cx="1647487" cy="27908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7487" cy="2790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cc0000"/>
        <w:sz w:val="28"/>
        <w:szCs w:val="28"/>
        <w:rtl w:val="0"/>
      </w:rPr>
      <w:t xml:space="preserve">Documentation &gt; Mondofi Car Share</w:t>
    </w:r>
    <w:r w:rsidDel="00000000" w:rsidR="00000000" w:rsidRPr="00000000">
      <w:rPr>
        <w:color w:val="cc0000"/>
        <w:sz w:val="20"/>
        <w:szCs w:val="20"/>
        <w:rtl w:val="0"/>
      </w:rPr>
      <w:tab/>
      <w:tab/>
      <w:tab/>
      <w:t xml:space="preserve">          </w:t>
      <w:tab/>
      <w:tab/>
    </w:r>
    <w:r w:rsidDel="00000000" w:rsidR="00000000" w:rsidRPr="00000000">
      <w:rPr>
        <w:color w:val="cc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.mondofi.com/mobile-app-content/mobile-app-content-car-share-rate-schedule-parque-langley/" TargetMode="External"/><Relationship Id="rId10" Type="http://schemas.openxmlformats.org/officeDocument/2006/relationships/hyperlink" Target="https://site.mondofi.com/mobile-app-content/car-share-user-guide/" TargetMode="External"/><Relationship Id="rId13" Type="http://schemas.openxmlformats.org/officeDocument/2006/relationships/hyperlink" Target="https://site.mondofi.com/mobile-app-content/mobile-app-content-car-share-faq/" TargetMode="External"/><Relationship Id="rId12" Type="http://schemas.openxmlformats.org/officeDocument/2006/relationships/hyperlink" Target="https://site.mondofi.com/mobile-app-content/mobile-app-content-car-share-insurance-inf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.mondofi.com/mobile-app-content/mobile-app-content-privacy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site.mondofi.com/mobile-app-content/mobile-app-content-car-share-glossa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.mondofi.com/mobile-app-content/mobile-app-content-car-share-terms-conditions/" TargetMode="External"/><Relationship Id="rId7" Type="http://schemas.openxmlformats.org/officeDocument/2006/relationships/hyperlink" Target="https://site.mondofi.com/mobile-app-content/mobile-app-content-privacy/" TargetMode="External"/><Relationship Id="rId8" Type="http://schemas.openxmlformats.org/officeDocument/2006/relationships/hyperlink" Target="https://site.mondofi.com/mobile-app-content/mobile-app-content-car-share-terms-condi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