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Rubik" w:hAnsi="Rubik" w:cs="Rubik" w:eastAsia="Rubik"/>
          <w:color w:val="auto"/>
          <w:spacing w:val="0"/>
          <w:position w:val="0"/>
          <w:sz w:val="40"/>
          <w:shd w:fill="auto" w:val="clear"/>
        </w:rPr>
      </w:pPr>
      <w:r>
        <w:rPr>
          <w:rFonts w:ascii="Rubik" w:hAnsi="Rubik" w:cs="Rubik" w:eastAsia="Rubik"/>
          <w:b/>
          <w:color w:val="CC0000"/>
          <w:spacing w:val="0"/>
          <w:position w:val="0"/>
          <w:sz w:val="40"/>
          <w:shd w:fill="auto" w:val="clear"/>
        </w:rPr>
        <w:t xml:space="preserve"> </w:t>
      </w:r>
      <w:r>
        <w:object w:dxaOrig="3033" w:dyaOrig="1327">
          <v:rect xmlns:o="urn:schemas-microsoft-com:office:office" xmlns:v="urn:schemas-microsoft-com:vml" id="rectole0000000000" style="width:151.650000pt;height:6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Rubik" w:hAnsi="Rubik" w:cs="Rubik" w:eastAsia="Rubik"/>
          <w:b/>
          <w:color w:val="CC0000"/>
          <w:spacing w:val="0"/>
          <w:position w:val="0"/>
          <w:sz w:val="40"/>
          <w:shd w:fill="auto" w:val="clear"/>
        </w:rPr>
        <w:t xml:space="preserve">   WOW CarShare Insurance Info</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Last updated: Sep 27, 2023</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76"/>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Insurance and Deductibles</w:t>
      </w:r>
    </w:p>
    <w:p>
      <w:pPr>
        <w:keepNext w:val="true"/>
        <w:keepLines w:val="true"/>
        <w:spacing w:before="320" w:after="80" w:line="276"/>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Third Party Liability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WOW Tri-Cities has, in place, Third Party Liability Insurance for the Vehicles in accordance with state law and with an insurer or insurers duly authorized to provide insurance in that state. Copies of the terms of the Third Party Liability Insurance coverage are available in the Vehicle's glove compartment. You and your Emergency Drivers qualify as insured under the Third Party Liability Insurance according to its terms and so long as your use of the Vehicle is in strict compliance with the </w:t>
      </w:r>
      <w:r>
        <w:rPr>
          <w:rFonts w:ascii="Rubik" w:hAnsi="Rubik" w:cs="Rubik" w:eastAsia="Rubik"/>
          <w:color w:val="333333"/>
          <w:spacing w:val="0"/>
          <w:position w:val="0"/>
          <w:sz w:val="22"/>
          <w:shd w:fill="FFFF00" w:val="clear"/>
        </w:rPr>
        <w:t xml:space="preserve">WOW </w:t>
      </w:r>
      <w:hyperlink xmlns:r="http://schemas.openxmlformats.org/officeDocument/2006/relationships" r:id="docRId2">
        <w:r>
          <w:rPr>
            <w:rFonts w:ascii="Rubik" w:hAnsi="Rubik" w:cs="Rubik" w:eastAsia="Rubik"/>
            <w:color w:val="0563C1"/>
            <w:spacing w:val="0"/>
            <w:position w:val="0"/>
            <w:sz w:val="22"/>
            <w:u w:val="single"/>
            <w:shd w:fill="FFFF00" w:val="clear"/>
          </w:rPr>
          <w:t xml:space="preserve">CarShare Terms </w:t>
        </w:r>
        <w:r>
          <w:rPr>
            <w:rFonts w:ascii="Rubik" w:hAnsi="Rubik" w:cs="Rubik" w:eastAsia="Rubik"/>
            <w:color w:val="0563C1"/>
            <w:spacing w:val="0"/>
            <w:position w:val="0"/>
            <w:sz w:val="22"/>
            <w:u w:val="single"/>
            <w:shd w:fill="FFFF00" w:val="clear"/>
          </w:rPr>
          <w:t xml:space="preserve"> HYPERLINK "https://view.officeapps.live.com/op/view.aspx?src=https%3A%2F%2Fraw.githubusercontent.com%2FHurt-Herzing%2FWOW%2Fmain%2FWOW_08_CarShare_Terms%2526Conditions_SHJ020624.docx&amp;wdOrigin=BROWSELINK"</w:t>
        </w:r>
        <w:r>
          <w:rPr>
            <w:rFonts w:ascii="Rubik" w:hAnsi="Rubik" w:cs="Rubik" w:eastAsia="Rubik"/>
            <w:color w:val="0563C1"/>
            <w:spacing w:val="0"/>
            <w:position w:val="0"/>
            <w:sz w:val="22"/>
            <w:u w:val="single"/>
            <w:shd w:fill="FFFF00" w:val="clear"/>
          </w:rPr>
          <w:t xml:space="preserve">&amp;</w:t>
        </w:r>
        <w:r>
          <w:rPr>
            <w:rFonts w:ascii="Rubik" w:hAnsi="Rubik" w:cs="Rubik" w:eastAsia="Rubik"/>
            <w:color w:val="0563C1"/>
            <w:spacing w:val="0"/>
            <w:position w:val="0"/>
            <w:sz w:val="22"/>
            <w:u w:val="single"/>
            <w:shd w:fill="FFFF00" w:val="clear"/>
          </w:rPr>
          <w:t xml:space="preserve"> HYPERLINK "https://view.officeapps.live.com/op/view.aspx?src=https%3A%2F%2Fraw.githubusercontent.com%2FHurt-Herzing%2FWOW%2Fmain%2FWOW_08_CarShare_Terms%2526Conditions_SHJ020624.docx&amp;wdOrigin=BROWSELINK"</w:t>
        </w:r>
        <w:r>
          <w:rPr>
            <w:rFonts w:ascii="Rubik" w:hAnsi="Rubik" w:cs="Rubik" w:eastAsia="Rubik"/>
            <w:color w:val="0563C1"/>
            <w:spacing w:val="0"/>
            <w:position w:val="0"/>
            <w:sz w:val="22"/>
            <w:u w:val="single"/>
            <w:shd w:fill="FFFF00" w:val="clear"/>
          </w:rPr>
          <w:t xml:space="preserve"> Conditions</w:t>
        </w:r>
      </w:hyperlink>
      <w:r>
        <w:rPr>
          <w:rFonts w:ascii="Rubik" w:hAnsi="Rubik" w:cs="Rubik" w:eastAsia="Rubik"/>
          <w:color w:val="333333"/>
          <w:spacing w:val="0"/>
          <w:position w:val="0"/>
          <w:sz w:val="22"/>
          <w:shd w:fill="FFFF00" w:val="clear"/>
        </w:rPr>
        <w:t xml:space="preserve"> </w:t>
      </w:r>
      <w:r>
        <w:rPr>
          <w:rFonts w:ascii="Rubik" w:hAnsi="Rubik" w:cs="Rubik" w:eastAsia="Rubik"/>
          <w:color w:val="333333"/>
          <w:spacing w:val="0"/>
          <w:position w:val="0"/>
          <w:sz w:val="22"/>
          <w:shd w:fill="auto" w:val="clear"/>
        </w:rPr>
        <w:t xml:space="preserve">and the terms of your permission from us to use the Vehicle. The policy limit of the Third Party Liability Insurance is equal to or greater than the minimum amount required by law in the state or province 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Arrangements for Third Party Liability Insurance does not reduce or otherwise affect your responsibility to us or any other person.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will charge you a Damage Fee of up to $1,000 to cover the costs of repair, in accordance with the terms set forth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i/>
          <w:color w:val="333333"/>
          <w:spacing w:val="0"/>
          <w:position w:val="0"/>
          <w:sz w:val="22"/>
          <w:shd w:fill="FF9900" w:val="clear"/>
        </w:rPr>
      </w:pPr>
      <w:r>
        <w:rPr>
          <w:rFonts w:ascii="Rubik" w:hAnsi="Rubik" w:cs="Rubik" w:eastAsia="Rubik"/>
          <w:color w:val="333333"/>
          <w:spacing w:val="0"/>
          <w:position w:val="0"/>
          <w:sz w:val="22"/>
          <w:shd w:fill="auto" w:val="clear"/>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76"/>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Collision and Comprehensive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3rd party insurance providers or insurers duly authorized to provide insurance in the state or province 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"At fault Accidents, Deductibles and Damage Fees"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76"/>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 are Responsible for Claims not Covered by our Motor Vehicle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also responsible and must indemnify us for any loss, liability, claims (including claims by other persons), damages, costs or expenses in connection with your use of a Vehicle that is not covered by the motor vehicle insurance for ourWOW CarShare program or exceeds our insurance coverage for our WOW Car Share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recommend that you seek other insurance protection for claims not covered by the insurance for our WOW Car Share program.</w:t>
      </w:r>
    </w:p>
    <w:p>
      <w:pPr>
        <w:keepNext w:val="true"/>
        <w:keepLines w:val="true"/>
        <w:spacing w:before="320" w:after="80" w:line="276"/>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At Fault Accidents, Deductibles and Damage Fees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76"/>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Limitations on Our Liability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any other limitation listed elsewhere in this Agreement, we will not be liable to you or any other person, to the maximum extent permitted by law, for:</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4"/>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indirect, consequential, incidental, special, aggravated, punitive or exemplary damages directly or indirectly arising from or in any way related to this Agreement, your WOW Car Share membership, the WOW Car Share program or any of its features, services or any other part of it (including Vehicles, reservations, your member account, the WOW Tri-Cities website, the Mondofi Mobile Application/WOW CarShare, and our WOWCall Center by phone at </w:t>
      </w:r>
      <w:r>
        <w:rPr>
          <w:rFonts w:ascii="Rubik" w:hAnsi="Rubik" w:cs="Rubik" w:eastAsia="Rubik"/>
          <w:b/>
          <w:color w:val="auto"/>
          <w:spacing w:val="0"/>
          <w:position w:val="0"/>
          <w:sz w:val="22"/>
          <w:shd w:fill="FFFFFF" w:val="clear"/>
        </w:rPr>
        <w:t xml:space="preserve">1-509-295-2036</w:t>
      </w:r>
      <w:r>
        <w:rPr>
          <w:rFonts w:ascii="Rubik" w:hAnsi="Rubik" w:cs="Rubik" w:eastAsia="Rubik"/>
          <w:color w:val="333333"/>
          <w:spacing w:val="0"/>
          <w:position w:val="0"/>
          <w:sz w:val="22"/>
          <w:shd w:fill="FFFFFF" w:val="clear"/>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pPr>
        <w:numPr>
          <w:ilvl w:val="0"/>
          <w:numId w:val="14"/>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performance, availability, reliability, operation, quality, or pricing of any part of the WOW CarShare program;</w:t>
      </w:r>
    </w:p>
    <w:p>
      <w:pPr>
        <w:numPr>
          <w:ilvl w:val="0"/>
          <w:numId w:val="14"/>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condition, safety or fitness for use of our Vehicles;</w:t>
      </w:r>
    </w:p>
    <w:p>
      <w:pPr>
        <w:numPr>
          <w:ilvl w:val="0"/>
          <w:numId w:val="14"/>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error or omission in the operation or management of any part of the Mondofi Car Share program;</w:t>
      </w:r>
    </w:p>
    <w:p>
      <w:pPr>
        <w:numPr>
          <w:ilvl w:val="0"/>
          <w:numId w:val="14"/>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lost, stolen, damaged, or expired identifiers, passwords, codes, benefits, discounts, rebates, credits or promotions; or</w:t>
      </w:r>
    </w:p>
    <w:p>
      <w:pPr>
        <w:numPr>
          <w:ilvl w:val="0"/>
          <w:numId w:val="14"/>
        </w:numPr>
        <w:spacing w:before="0" w:after="16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denial, restriction, suspension, disruption or inaccessibility of your WOW Car Share membership or your participation in any part of the WOW Car Share program.</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76"/>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Related Documents</w:t>
      </w:r>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3">
        <w:r>
          <w:rPr>
            <w:rFonts w:ascii="Rubik" w:hAnsi="Rubik" w:cs="Rubik" w:eastAsia="Rubik"/>
            <w:color w:val="CC0000"/>
            <w:spacing w:val="0"/>
            <w:position w:val="0"/>
            <w:sz w:val="23"/>
            <w:u w:val="single"/>
            <w:shd w:fill="FFFF00" w:val="clear"/>
          </w:rPr>
          <w:t xml:space="preserve">Glossary of Terms</w:t>
        </w:r>
      </w:hyperlink>
    </w:p>
    <w:p>
      <w:pPr>
        <w:numPr>
          <w:ilvl w:val="0"/>
          <w:numId w:val="18"/>
        </w:numPr>
        <w:spacing w:before="200" w:after="0" w:line="276"/>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4">
        <w:r>
          <w:rPr>
            <w:rFonts w:ascii="Rubik" w:hAnsi="Rubik" w:cs="Rubik" w:eastAsia="Rubik"/>
            <w:color w:val="0563C1"/>
            <w:spacing w:val="0"/>
            <w:position w:val="0"/>
            <w:sz w:val="22"/>
            <w:u w:val="single"/>
            <w:shd w:fill="FFFF00" w:val="clear"/>
          </w:rPr>
          <w:t xml:space="preserve">Terms </w:t>
        </w:r>
        <w:r>
          <w:rPr>
            <w:rFonts w:ascii="Rubik" w:hAnsi="Rubik" w:cs="Rubik" w:eastAsia="Rubik"/>
            <w:color w:val="0563C1"/>
            <w:spacing w:val="0"/>
            <w:position w:val="0"/>
            <w:sz w:val="22"/>
            <w:u w:val="single"/>
            <w:shd w:fill="FFFF00" w:val="clear"/>
          </w:rPr>
          <w:t xml:space="preserve"> HYPERLINK "https://view.officeapps.live.com/op/view.aspx?src=https%3A%2F%2Fraw.githubusercontent.com%2FHurt-Herzing%2FWOW%2Fmain%2FWOW_08_CarShare_Terms%2526Conditions_SHJ020624.docx&amp;wdOrigin=BROWSELINK"</w:t>
        </w:r>
        <w:r>
          <w:rPr>
            <w:rFonts w:ascii="Rubik" w:hAnsi="Rubik" w:cs="Rubik" w:eastAsia="Rubik"/>
            <w:color w:val="0563C1"/>
            <w:spacing w:val="0"/>
            <w:position w:val="0"/>
            <w:sz w:val="22"/>
            <w:u w:val="single"/>
            <w:shd w:fill="FFFF00" w:val="clear"/>
          </w:rPr>
          <w:t xml:space="preserve">&amp;</w:t>
        </w:r>
        <w:r>
          <w:rPr>
            <w:rFonts w:ascii="Rubik" w:hAnsi="Rubik" w:cs="Rubik" w:eastAsia="Rubik"/>
            <w:color w:val="0563C1"/>
            <w:spacing w:val="0"/>
            <w:position w:val="0"/>
            <w:sz w:val="22"/>
            <w:u w:val="single"/>
            <w:shd w:fill="FFFF00" w:val="clear"/>
          </w:rPr>
          <w:t xml:space="preserve"> HYPERLINK "https://view.officeapps.live.com/op/view.aspx?src=https%3A%2F%2Fraw.githubusercontent.com%2FHurt-Herzing%2FWOW%2Fmain%2FWOW_08_CarShare_Terms%2526Conditions_SHJ020624.docx&amp;wdOrigin=BROWSELINK"</w:t>
        </w:r>
        <w:r>
          <w:rPr>
            <w:rFonts w:ascii="Rubik" w:hAnsi="Rubik" w:cs="Rubik" w:eastAsia="Rubik"/>
            <w:color w:val="0563C1"/>
            <w:spacing w:val="0"/>
            <w:position w:val="0"/>
            <w:sz w:val="22"/>
            <w:u w:val="single"/>
            <w:shd w:fill="FFFF00" w:val="clear"/>
          </w:rPr>
          <w:t xml:space="preserve"> Conditions</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
        <w:r>
          <w:rPr>
            <w:rFonts w:ascii="Rubik" w:hAnsi="Rubik" w:cs="Rubik" w:eastAsia="Rubik"/>
            <w:color w:val="CC0000"/>
            <w:spacing w:val="0"/>
            <w:position w:val="0"/>
            <w:sz w:val="23"/>
            <w:u w:val="single"/>
            <w:shd w:fill="FFFF00" w:val="clear"/>
          </w:rPr>
          <w:t xml:space="preserve">Privacy Policy</w:t>
        </w:r>
      </w:hyperlink>
    </w:p>
    <w:p>
      <w:pPr>
        <w:numPr>
          <w:ilvl w:val="0"/>
          <w:numId w:val="18"/>
        </w:numPr>
        <w:spacing w:before="200" w:after="0" w:line="276"/>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6">
        <w:r>
          <w:rPr>
            <w:rFonts w:ascii="Rubik" w:hAnsi="Rubik" w:cs="Rubik" w:eastAsia="Rubik"/>
            <w:color w:val="CC0000"/>
            <w:spacing w:val="0"/>
            <w:position w:val="0"/>
            <w:sz w:val="22"/>
            <w:u w:val="single"/>
            <w:shd w:fill="FFFF00" w:val="clear"/>
          </w:rPr>
          <w:t xml:space="preserve">FAQ</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7">
        <w:r>
          <w:rPr>
            <w:rFonts w:ascii="Rubik" w:hAnsi="Rubik" w:cs="Rubik" w:eastAsia="Rubik"/>
            <w:color w:val="CC0000"/>
            <w:spacing w:val="0"/>
            <w:position w:val="0"/>
            <w:sz w:val="23"/>
            <w:u w:val="single"/>
            <w:shd w:fill="FFFF00" w:val="clear"/>
          </w:rPr>
          <w:t xml:space="preserve">Rate Schedule</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8">
        <w:r>
          <w:rPr>
            <w:rFonts w:ascii="Rubik" w:hAnsi="Rubik" w:cs="Rubik" w:eastAsia="Rubik"/>
            <w:color w:val="CC0000"/>
            <w:spacing w:val="0"/>
            <w:position w:val="0"/>
            <w:sz w:val="23"/>
            <w:u w:val="single"/>
            <w:shd w:fill="FFFF00" w:val="clear"/>
          </w:rPr>
          <w:t xml:space="preserve">Pre-Trip Info</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9">
        <w:r>
          <w:rPr>
            <w:rFonts w:ascii="Rubik" w:hAnsi="Rubik" w:cs="Rubik" w:eastAsia="Rubik"/>
            <w:color w:val="CC0000"/>
            <w:spacing w:val="0"/>
            <w:position w:val="0"/>
            <w:sz w:val="23"/>
            <w:u w:val="single"/>
            <w:shd w:fill="FFFF00" w:val="clear"/>
          </w:rPr>
          <w:t xml:space="preserve">Post-Trip Info</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10">
        <w:r>
          <w:rPr>
            <w:rFonts w:ascii="Rubik" w:hAnsi="Rubik" w:cs="Rubik" w:eastAsia="Rubik"/>
            <w:color w:val="CC0000"/>
            <w:spacing w:val="0"/>
            <w:position w:val="0"/>
            <w:sz w:val="23"/>
            <w:u w:val="single"/>
            <w:shd w:fill="FFFF00" w:val="clear"/>
          </w:rPr>
          <w:t xml:space="preserve">Insurance Info</w:t>
        </w:r>
      </w:hyperlink>
    </w:p>
    <w:p>
      <w:pPr>
        <w:numPr>
          <w:ilvl w:val="0"/>
          <w:numId w:val="18"/>
        </w:numPr>
        <w:spacing w:before="200" w:after="0" w:line="276"/>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11">
        <w:r>
          <w:rPr>
            <w:rFonts w:ascii="Rubik" w:hAnsi="Rubik" w:cs="Rubik" w:eastAsia="Rubik"/>
            <w:color w:val="CC0000"/>
            <w:spacing w:val="0"/>
            <w:position w:val="0"/>
            <w:sz w:val="23"/>
            <w:u w:val="single"/>
            <w:shd w:fill="FFFF00" w:val="clear"/>
          </w:rPr>
          <w:t xml:space="preserve">User Guide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site.mondofi.com/mobile-app-content/mobile-app-content-car-share-glossary/" Id="docRId3" Type="http://schemas.openxmlformats.org/officeDocument/2006/relationships/hyperlink" /><Relationship TargetMode="External" Target="https://site.mondofi.com/mobile-app-content/mobile-app-content-car-share-rate-schedule-parque-langley/" Id="docRId7" Type="http://schemas.openxmlformats.org/officeDocument/2006/relationships/hyperlink" /><Relationship TargetMode="External" Target="https://site.mondofi.com/mobile-app-content/mobile-app-content-car-share-insurance-info/" Id="docRId10" Type="http://schemas.openxmlformats.org/officeDocument/2006/relationships/hyperlink" /><Relationship TargetMode="External" Target="https://view.officeapps.live.com/op/view.aspx?src=https%3A%2F%2Fraw.githubusercontent.com%2FHurt-Herzing%2FWOW%2Fmain%2FWOW_08_CarShare_Terms%2526Conditions_SHJ020624.docx&amp;wdOrigin=BROWSELINK" Id="docRId2" Type="http://schemas.openxmlformats.org/officeDocument/2006/relationships/hyperlink" /><Relationship TargetMode="External" Target="https://site.mondofi.com/mobile-app-content/mobile-app-content-car-share-faq/" Id="docRId6" Type="http://schemas.openxmlformats.org/officeDocument/2006/relationships/hyperlink" /><Relationship Target="media/image0.wmf" Id="docRId1" Type="http://schemas.openxmlformats.org/officeDocument/2006/relationships/image" /><Relationship TargetMode="External" Target="https://site.mondofi.com/mobile-app-content/car-share-user-guide/" Id="docRId11" Type="http://schemas.openxmlformats.org/officeDocument/2006/relationships/hyperlink" /><Relationship TargetMode="External" Target="https://site.mondofi.com/mobile-app-content/mobile-app-content-privacy/" Id="docRId5" Type="http://schemas.openxmlformats.org/officeDocument/2006/relationships/hyperlink" /><Relationship TargetMode="External" Target="https://site.mondofi.com/mobile-app-content/mobile-app-content-car-share-post-trip-info/"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view.officeapps.live.com/op/view.aspx?src=https%3A%2F%2Fraw.githubusercontent.com%2FHurt-Herzing%2FWOW%2Fmain%2FWOW_08_CarShare_Terms%2526Conditions_SHJ020624.docx&amp;wdOrigin=BROWSELINK" Id="docRId4" Type="http://schemas.openxmlformats.org/officeDocument/2006/relationships/hyperlink" /><Relationship TargetMode="External" Target="https://site.mondofi.com/mobile-app-content/mobile-app-content-car-share-pre-trip-info/" Id="docRId8" Type="http://schemas.openxmlformats.org/officeDocument/2006/relationships/hyperlink" /></Relationships>
</file>