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ubik" w:cs="Rubik" w:eastAsia="Rubik" w:hAnsi="Rubik"/>
          <w:color w:val="9900ff"/>
        </w:rPr>
      </w:pPr>
      <w:bookmarkStart w:colFirst="0" w:colLast="0" w:name="_cqwmm2ecdk6e" w:id="0"/>
      <w:bookmarkEnd w:id="0"/>
      <w:r w:rsidDel="00000000" w:rsidR="00000000" w:rsidRPr="00000000">
        <w:rPr>
          <w:rFonts w:ascii="Rubik" w:cs="Rubik" w:eastAsia="Rubik" w:hAnsi="Rubik"/>
          <w:b w:val="1"/>
          <w:color w:val="9900ff"/>
          <w:rtl w:val="0"/>
        </w:rPr>
        <w:t xml:space="preserve">WOW CarShare Rate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Last updated: </w:t>
      </w:r>
      <w:r w:rsidDel="00000000" w:rsidR="00000000" w:rsidRPr="00000000">
        <w:rPr>
          <w:rFonts w:ascii="Rubik" w:cs="Rubik" w:eastAsia="Rubik" w:hAnsi="Rubik"/>
          <w:rtl w:val="0"/>
        </w:rPr>
        <w:t xml:space="preserve">Dec 2,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ubik" w:cs="Rubik" w:eastAsia="Rubik" w:hAnsi="Rubi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Rubik" w:cs="Rubik" w:eastAsia="Rubik" w:hAnsi="Rubik"/>
          <w:i w:val="1"/>
        </w:rPr>
      </w:pPr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All rates are subject to GST and PST. </w:t>
      </w:r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For trips with a duration of 8 hours or more, a daily $1.50 Passenger Vehicle Rental Tax (PVRT) is charged.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Rubik" w:cs="Rubik" w:eastAsia="Rubik" w:hAnsi="Rubik"/>
          <w:i w:val="1"/>
        </w:rPr>
      </w:pPr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Rental Rates are subject to increase with 7 days notice prior to the effective date of increase.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hd w:fill="ffffff" w:val="clear"/>
        <w:spacing w:after="160" w:lineRule="auto"/>
        <w:rPr>
          <w:rFonts w:ascii="Rubik" w:cs="Rubik" w:eastAsia="Rubik" w:hAnsi="Rubik"/>
          <w:color w:val="333333"/>
          <w:sz w:val="20"/>
          <w:szCs w:val="20"/>
        </w:rPr>
      </w:pPr>
      <w:bookmarkStart w:colFirst="0" w:colLast="0" w:name="_6t9xml2text4" w:id="1"/>
      <w:bookmarkEnd w:id="1"/>
      <w:r w:rsidDel="00000000" w:rsidR="00000000" w:rsidRPr="00000000">
        <w:rPr>
          <w:rFonts w:ascii="Rubik" w:cs="Rubik" w:eastAsia="Rubik" w:hAnsi="Rubik"/>
          <w:color w:val="333333"/>
          <w:rtl w:val="0"/>
        </w:rPr>
        <w:t xml:space="preserve">Rental Rates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6810"/>
        <w:gridCol w:w="3270"/>
        <w:tblGridChange w:id="0">
          <w:tblGrid>
            <w:gridCol w:w="6810"/>
            <w:gridCol w:w="3270"/>
          </w:tblGrid>
        </w:tblGridChange>
      </w:tblGrid>
      <w:tr>
        <w:trPr>
          <w:cantSplit w:val="0"/>
          <w:tblHeader w:val="1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ubik" w:cs="Rubik" w:eastAsia="Rubik" w:hAnsi="Rubik"/>
                <w:b w:val="1"/>
                <w:color w:val="ffffff"/>
                <w:sz w:val="20"/>
                <w:szCs w:val="20"/>
                <w:shd w:fill="cc0000" w:val="clear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color w:val="ffffff"/>
                <w:sz w:val="20"/>
                <w:szCs w:val="20"/>
                <w:shd w:fill="cc0000" w:val="clear"/>
                <w:rtl w:val="0"/>
              </w:rPr>
              <w:t xml:space="preserve">Item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Rubik" w:cs="Rubik" w:eastAsia="Rubik" w:hAnsi="Rubik"/>
                <w:b w:val="1"/>
                <w:color w:val="ffffff"/>
                <w:sz w:val="20"/>
                <w:szCs w:val="20"/>
                <w:shd w:fill="cc0000" w:val="clear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color w:val="ffffff"/>
                <w:sz w:val="20"/>
                <w:szCs w:val="20"/>
                <w:shd w:fill="cc0000" w:val="clear"/>
                <w:rtl w:val="0"/>
              </w:rPr>
              <w:t xml:space="preserve">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ubik" w:cs="Rubik" w:eastAsia="Rubik" w:hAnsi="Rubik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$4.00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Per Day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Rubik" w:cs="Rubik" w:eastAsia="Rubik" w:hAnsi="Rubik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i w:val="1"/>
                <w:sz w:val="20"/>
                <w:szCs w:val="20"/>
                <w:rtl w:val="0"/>
              </w:rPr>
              <w:t xml:space="preserve">(applies from 12 hours to 24 hours within Rental Period)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$48.00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Per KM before 25 KM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(applies for the first 25 KM of the trip)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$0.44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Per KM after 25 KM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ubik" w:cs="Rubik" w:eastAsia="Rubik" w:hAnsi="Rubik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(applies from 26 KM onwards)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$0.32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All Access Fee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Rubik" w:cs="Rubik" w:eastAsia="Rubik" w:hAnsi="Rubik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i w:val="1"/>
                <w:sz w:val="20"/>
                <w:szCs w:val="20"/>
                <w:rtl w:val="0"/>
              </w:rPr>
              <w:t xml:space="preserve">(applied each trip)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$1.00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Open Return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$3.00</w:t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rPr>
          <w:rFonts w:ascii="Rubik" w:cs="Rubik" w:eastAsia="Rubik" w:hAnsi="Rubik"/>
          <w:color w:val="333333"/>
        </w:rPr>
      </w:pPr>
      <w:bookmarkStart w:colFirst="0" w:colLast="0" w:name="_dpnv72as18w" w:id="2"/>
      <w:bookmarkEnd w:id="2"/>
      <w:r w:rsidDel="00000000" w:rsidR="00000000" w:rsidRPr="00000000">
        <w:rPr>
          <w:rFonts w:ascii="Rubik" w:cs="Rubik" w:eastAsia="Rubik" w:hAnsi="Rubik"/>
          <w:color w:val="333333"/>
          <w:rtl w:val="0"/>
        </w:rPr>
        <w:t xml:space="preserve">Service Fees</w:t>
      </w:r>
    </w:p>
    <w:p w:rsidR="00000000" w:rsidDel="00000000" w:rsidP="00000000" w:rsidRDefault="00000000" w:rsidRPr="00000000" w14:paraId="0000001A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Fees are applied in accordance with the Mondofi Car Share</w:t>
      </w:r>
      <w:hyperlink r:id="rId6">
        <w:r w:rsidDel="00000000" w:rsidR="00000000" w:rsidRPr="00000000">
          <w:rPr>
            <w:rFonts w:ascii="Rubik" w:cs="Rubik" w:eastAsia="Rubik" w:hAnsi="Rubik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ubik" w:cs="Rubik" w:eastAsia="Rubik" w:hAnsi="Rubik"/>
            <w:color w:val="cc0000"/>
            <w:u w:val="single"/>
            <w:rtl w:val="0"/>
          </w:rPr>
          <w:t xml:space="preserve">Terms &amp; Conditions</w:t>
        </w:r>
      </w:hyperlink>
      <w:r w:rsidDel="00000000" w:rsidR="00000000" w:rsidRPr="00000000">
        <w:rPr>
          <w:rFonts w:ascii="Rubik" w:cs="Rubik" w:eastAsia="Rubik" w:hAnsi="Rubik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6795"/>
        <w:gridCol w:w="3285"/>
        <w:tblGridChange w:id="0">
          <w:tblGrid>
            <w:gridCol w:w="6795"/>
            <w:gridCol w:w="3285"/>
          </w:tblGrid>
        </w:tblGridChange>
      </w:tblGrid>
      <w:tr>
        <w:trPr>
          <w:cantSplit w:val="0"/>
          <w:tblHeader w:val="1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Rubik" w:cs="Rubik" w:eastAsia="Rubik" w:hAnsi="Rubik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color w:val="ffffff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ubik" w:cs="Rubik" w:eastAsia="Rubik" w:hAnsi="Rubik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color w:val="ffffff"/>
                <w:sz w:val="20"/>
                <w:szCs w:val="20"/>
                <w:rtl w:val="0"/>
              </w:rPr>
              <w:t xml:space="preserve">Rate</w:t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Cancellation Fee, within 12 hours of scheduled 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$5.00</w:t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Late Return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$50.00</w:t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Noncompliant Return Fee (i.e. vehicle not plugged in charger)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$50.00</w:t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highlight w:val="white"/>
                <w:rtl w:val="0"/>
              </w:rPr>
              <w:t xml:space="preserve">Drained Battery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$100.00</w:t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highlight w:val="white"/>
                <w:rtl w:val="0"/>
              </w:rPr>
              <w:t xml:space="preserve">Damage Fee/Deductible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$1,000.00</w:t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highlight w:val="white"/>
                <w:rtl w:val="0"/>
              </w:rPr>
              <w:t xml:space="preserve">Excessive Cleaning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$50.00 - $150.00</w:t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highlight w:val="white"/>
                <w:rtl w:val="0"/>
              </w:rPr>
              <w:t xml:space="preserve">Loss of Use Fee (example: </w:t>
            </w: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highlight w:val="white"/>
                <w:rtl w:val="0"/>
              </w:rPr>
              <w:t xml:space="preserve">vehicle impounded</w:t>
            </w: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Per day fee +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$100.00 per day of loss</w:t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Lost Vehicle Equipment or Items (example: charging cable, vehicle insurance documents)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$100.00 - 550.00</w:t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highlight w:val="white"/>
                <w:rtl w:val="0"/>
              </w:rPr>
              <w:t xml:space="preserve">Relocation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$50.00 + lot fees</w:t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highlight w:val="white"/>
                <w:rtl w:val="0"/>
              </w:rPr>
              <w:t xml:space="preserve">Towing Ticket charge &amp; Processing fee (with vehicle impounded)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$150.00 + cost of tow</w:t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highlight w:val="white"/>
                <w:rtl w:val="0"/>
              </w:rPr>
              <w:t xml:space="preserve">Towing Ticket charge &amp; Processing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$50.00 + cost of tow </w:t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highlight w:val="white"/>
                <w:rtl w:val="0"/>
              </w:rPr>
              <w:t xml:space="preserve">Parking Ticket Charge &amp; Processing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$50.00 + ticket amount</w:t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highlight w:val="white"/>
                <w:rtl w:val="0"/>
              </w:rPr>
              <w:t xml:space="preserve">Toll Charge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Toll charge amount + processing fee</w:t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highlight w:val="white"/>
                <w:rtl w:val="0"/>
              </w:rPr>
              <w:t xml:space="preserve">Unauthorized Driver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$200.00</w:t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highlight w:val="white"/>
                <w:rtl w:val="0"/>
              </w:rPr>
              <w:t xml:space="preserve">Unauthorized Parking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$300.00</w:t>
            </w: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 + loss of use 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highlight w:val="white"/>
                <w:rtl w:val="0"/>
              </w:rPr>
              <w:t xml:space="preserve">Unsecured Vehicle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$100.00</w:t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highlight w:val="white"/>
                <w:rtl w:val="0"/>
              </w:rPr>
              <w:t xml:space="preserve">Vehicle Recovery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Recovery Cost + Loss of Use Fee</w:t>
            </w:r>
          </w:p>
        </w:tc>
      </w:tr>
      <w:tr>
        <w:trPr>
          <w:cantSplit w:val="0"/>
          <w:trHeight w:val="457.5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Vehicle Out of Geographical Bounds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$200.00 + Vehicle Recovery Fee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ubik" w:cs="Rubik" w:eastAsia="Rubik" w:hAnsi="Rubi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Rubik" w:cs="Rubik" w:eastAsia="Rubik" w:hAnsi="Rubik"/>
        </w:rPr>
      </w:pPr>
      <w:bookmarkStart w:colFirst="0" w:colLast="0" w:name="_95xtz01ombix" w:id="3"/>
      <w:bookmarkEnd w:id="3"/>
      <w:r w:rsidDel="00000000" w:rsidR="00000000" w:rsidRPr="00000000">
        <w:rPr>
          <w:rFonts w:ascii="Rubik" w:cs="Rubik" w:eastAsia="Rubik" w:hAnsi="Rubik"/>
          <w:b w:val="0"/>
          <w:sz w:val="32"/>
          <w:szCs w:val="32"/>
          <w:rtl w:val="0"/>
        </w:rPr>
        <w:t xml:space="preserve">Related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white"/>
        </w:rPr>
      </w:pPr>
      <w:hyperlink r:id="rId8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white"/>
            <w:u w:val="single"/>
            <w:rtl w:val="0"/>
          </w:rPr>
          <w:t xml:space="preserve">Glossary of 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</w:rPr>
      </w:pPr>
      <w:hyperlink r:id="rId9">
        <w:r w:rsidDel="00000000" w:rsidR="00000000" w:rsidRPr="00000000">
          <w:rPr>
            <w:rFonts w:ascii="Rubik" w:cs="Rubik" w:eastAsia="Rubik" w:hAnsi="Rubik"/>
            <w:color w:val="cc0000"/>
            <w:u w:val="single"/>
            <w:rtl w:val="0"/>
          </w:rPr>
          <w:t xml:space="preserve">Terms &amp;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white"/>
        </w:rPr>
      </w:pPr>
      <w:hyperlink r:id="rId10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whit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</w:rPr>
      </w:pPr>
      <w:hyperlink r:id="rId11">
        <w:r w:rsidDel="00000000" w:rsidR="00000000" w:rsidRPr="00000000">
          <w:rPr>
            <w:rFonts w:ascii="Rubik" w:cs="Rubik" w:eastAsia="Rubik" w:hAnsi="Rubik"/>
            <w:color w:val="cc0000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</w:rPr>
      </w:pPr>
      <w:hyperlink r:id="rId12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u w:val="single"/>
            <w:rtl w:val="0"/>
          </w:rPr>
          <w:t xml:space="preserve">Rate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white"/>
        </w:rPr>
      </w:pPr>
      <w:hyperlink r:id="rId13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white"/>
            <w:u w:val="single"/>
            <w:rtl w:val="0"/>
          </w:rPr>
          <w:t xml:space="preserve">Pre-Trip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white"/>
        </w:rPr>
      </w:pPr>
      <w:hyperlink r:id="rId14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white"/>
            <w:u w:val="single"/>
            <w:rtl w:val="0"/>
          </w:rPr>
          <w:t xml:space="preserve">Post-Trip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white"/>
        </w:rPr>
      </w:pPr>
      <w:hyperlink r:id="rId15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white"/>
            <w:u w:val="single"/>
            <w:rtl w:val="0"/>
          </w:rPr>
          <w:t xml:space="preserve">Insurance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white"/>
        </w:rPr>
      </w:pPr>
      <w:hyperlink r:id="rId16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white"/>
            <w:u w:val="single"/>
            <w:rtl w:val="0"/>
          </w:rPr>
          <w:t xml:space="preserve">User Guide</w:t>
        </w:r>
      </w:hyperlink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270" w:top="360" w:left="1080" w:right="108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ind w:left="1440" w:firstLine="0"/>
      <w:rPr>
        <w:color w:val="cc0000"/>
        <w:sz w:val="20"/>
        <w:szCs w:val="20"/>
      </w:rPr>
    </w:pPr>
    <w:r w:rsidDel="00000000" w:rsidR="00000000" w:rsidRPr="00000000">
      <w:rPr>
        <w:b w:val="1"/>
        <w:color w:val="cc0000"/>
        <w:sz w:val="30"/>
        <w:szCs w:val="30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76200</wp:posOffset>
          </wp:positionH>
          <wp:positionV relativeFrom="page">
            <wp:posOffset>110945</wp:posOffset>
          </wp:positionV>
          <wp:extent cx="1647487" cy="279083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7487" cy="2790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cc0000"/>
        <w:sz w:val="28"/>
        <w:szCs w:val="28"/>
        <w:rtl w:val="0"/>
      </w:rPr>
      <w:t xml:space="preserve">Documentation &gt; Mondofi Car Share</w:t>
    </w:r>
    <w:r w:rsidDel="00000000" w:rsidR="00000000" w:rsidRPr="00000000">
      <w:rPr>
        <w:color w:val="cc0000"/>
        <w:sz w:val="20"/>
        <w:szCs w:val="20"/>
        <w:rtl w:val="0"/>
      </w:rPr>
      <w:tab/>
      <w:tab/>
      <w:tab/>
      <w:t xml:space="preserve">          </w:t>
      <w:tab/>
      <w:tab/>
    </w:r>
    <w:r w:rsidDel="00000000" w:rsidR="00000000" w:rsidRPr="00000000">
      <w:rPr>
        <w:color w:val="cc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te.mondofi.com/mobile-app-content/mobile-app-content-car-share-faq/" TargetMode="External"/><Relationship Id="rId10" Type="http://schemas.openxmlformats.org/officeDocument/2006/relationships/hyperlink" Target="https://site.mondofi.com/mobile-app-content/mobile-app-content-privacy/" TargetMode="External"/><Relationship Id="rId13" Type="http://schemas.openxmlformats.org/officeDocument/2006/relationships/hyperlink" Target="https://site.mondofi.com/mobile-app-content/mobile-app-content-car-share-pre-trip-info/" TargetMode="External"/><Relationship Id="rId12" Type="http://schemas.openxmlformats.org/officeDocument/2006/relationships/hyperlink" Target="https://site.mondofi.com/mobile-app-content/mobile-app-content-car-share-rate-schedule-parque-langle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te.mondofi.com/mobile-app-content/mobile-app-content-car-share-terms-conditions/" TargetMode="External"/><Relationship Id="rId15" Type="http://schemas.openxmlformats.org/officeDocument/2006/relationships/hyperlink" Target="https://site.mondofi.com/mobile-app-content/mobile-app-content-car-share-insurance-info/" TargetMode="External"/><Relationship Id="rId14" Type="http://schemas.openxmlformats.org/officeDocument/2006/relationships/hyperlink" Target="https://site.mondofi.com/mobile-app-content/mobile-app-content-car-share-post-trip-info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site.mondofi.com/mobile-app-content/car-share-user-guide/" TargetMode="External"/><Relationship Id="rId5" Type="http://schemas.openxmlformats.org/officeDocument/2006/relationships/styles" Target="styles.xml"/><Relationship Id="rId6" Type="http://schemas.openxmlformats.org/officeDocument/2006/relationships/hyperlink" Target="https://site.mondofi.com/mobile-app-content/mobile-app-content-car-share-terms-conditions/" TargetMode="External"/><Relationship Id="rId7" Type="http://schemas.openxmlformats.org/officeDocument/2006/relationships/hyperlink" Target="https://site.mondofi.com/mobile-app-content/mobile-app-content-car-share-terms-conditions/" TargetMode="External"/><Relationship Id="rId8" Type="http://schemas.openxmlformats.org/officeDocument/2006/relationships/hyperlink" Target="https://site.mondofi.com/mobile-app-content/mobile-app-content-car-share-glossar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