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eastAsia="Times New Roman"/>
          <w:b/>
          <w:i w:val="0"/>
          <w:sz w:val="24"/>
        </w:rPr>
        <w:t>APT3065A MID-TERM PROJECT CONCEPT PAPER</w:t>
      </w:r>
    </w:p>
    <w:p>
      <w:pPr>
        <w:spacing w:before="0" w:after="20" w:line="240" w:lineRule="auto"/>
        <w:jc w:val="center"/>
      </w:pPr>
      <w:r>
        <w:rPr>
          <w:rFonts w:ascii="Times New Roman" w:hAnsi="Times New Roman" w:eastAsia="Times New Roman"/>
          <w:b/>
          <w:i w:val="0"/>
          <w:sz w:val="24"/>
        </w:rPr>
        <w:t>RepairTrack: Design and Development of a Secure Mobile-Friendly Device Repair Tracking System for Small ICT Repair Businesses</w:t>
      </w:r>
    </w:p>
    <w:p>
      <w:pPr>
        <w:spacing w:before="0" w:after="60" w:line="240" w:lineRule="auto"/>
        <w:jc w:val="center"/>
      </w:pPr>
      <w:r>
        <w:rPr>
          <w:rFonts w:ascii="Times New Roman" w:hAnsi="Times New Roman" w:eastAsia="Times New Roman"/>
          <w:b w:val="0"/>
          <w:i/>
          <w:sz w:val="24"/>
        </w:rPr>
        <w:t>Pilot Context: Husaini Tech Solutions, Nairobi, Kenya</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tcMar>
              <w:top w:w="30" w:type="dxa"/>
              <w:start w:w="60" w:type="dxa"/>
              <w:bottom w:w="30" w:type="dxa"/>
              <w:end w:w="60" w:type="dxa"/>
            </w:tcMar>
          </w:tcPr>
          <w:p>
            <w:pPr>
              <w:spacing w:before="0" w:after="0" w:line="240" w:lineRule="auto"/>
            </w:pPr>
            <w:r>
              <w:rPr>
                <w:rFonts w:ascii="Times New Roman" w:hAnsi="Times New Roman" w:eastAsia="Times New Roman"/>
                <w:sz w:val="22"/>
              </w:rPr>
              <w:t>Student Name: Husain Zohair Kaka</w:t>
            </w:r>
          </w:p>
        </w:tc>
        <w:tc>
          <w:tcPr>
            <w:tcW w:type="dxa" w:w="4680"/>
            <w:tcMar>
              <w:top w:w="30" w:type="dxa"/>
              <w:start w:w="60" w:type="dxa"/>
              <w:bottom w:w="30" w:type="dxa"/>
              <w:end w:w="60" w:type="dxa"/>
            </w:tcMar>
          </w:tcPr>
          <w:p>
            <w:pPr>
              <w:spacing w:before="0" w:after="0" w:line="240" w:lineRule="auto"/>
            </w:pPr>
            <w:r>
              <w:rPr>
                <w:rFonts w:ascii="Times New Roman" w:hAnsi="Times New Roman" w:eastAsia="Times New Roman"/>
                <w:sz w:val="22"/>
              </w:rPr>
              <w:t>Student ID: [Insert Student ID]</w:t>
            </w:r>
          </w:p>
        </w:tc>
      </w:tr>
      <w:tr>
        <w:tc>
          <w:tcPr>
            <w:tcW w:type="dxa" w:w="4680"/>
            <w:tcMar>
              <w:top w:w="30" w:type="dxa"/>
              <w:start w:w="60" w:type="dxa"/>
              <w:bottom w:w="30" w:type="dxa"/>
              <w:end w:w="60" w:type="dxa"/>
            </w:tcMar>
          </w:tcPr>
          <w:p>
            <w:pPr>
              <w:spacing w:before="0" w:after="0" w:line="240" w:lineRule="auto"/>
            </w:pPr>
            <w:r>
              <w:rPr>
                <w:rFonts w:ascii="Times New Roman" w:hAnsi="Times New Roman" w:eastAsia="Times New Roman"/>
                <w:sz w:val="22"/>
              </w:rPr>
              <w:t>Course: APT3065A Mid-Term Project</w:t>
            </w:r>
          </w:p>
        </w:tc>
        <w:tc>
          <w:tcPr>
            <w:tcW w:type="dxa" w:w="4680"/>
            <w:tcMar>
              <w:top w:w="30" w:type="dxa"/>
              <w:start w:w="60" w:type="dxa"/>
              <w:bottom w:w="30" w:type="dxa"/>
              <w:end w:w="60" w:type="dxa"/>
            </w:tcMar>
          </w:tcPr>
          <w:p>
            <w:pPr>
              <w:spacing w:before="0" w:after="0" w:line="240" w:lineRule="auto"/>
            </w:pPr>
            <w:r>
              <w:rPr>
                <w:rFonts w:ascii="Times New Roman" w:hAnsi="Times New Roman" w:eastAsia="Times New Roman"/>
                <w:sz w:val="22"/>
              </w:rPr>
              <w:t>Date: [Insert Submission Date]</w:t>
            </w:r>
          </w:p>
        </w:tc>
      </w:tr>
    </w:tbl>
    <w:p>
      <w:pPr>
        <w:spacing w:before="60" w:after="20" w:line="240" w:lineRule="auto"/>
      </w:pPr>
      <w:r>
        <w:rPr>
          <w:rFonts w:ascii="Times New Roman" w:hAnsi="Times New Roman" w:eastAsia="Times New Roman"/>
          <w:b/>
          <w:i w:val="0"/>
          <w:sz w:val="24"/>
        </w:rPr>
        <w:t>1. Title, Problem Statement and Research Gap</w:t>
      </w:r>
    </w:p>
    <w:p>
      <w:pPr>
        <w:spacing w:before="0" w:after="0" w:line="276" w:lineRule="auto"/>
      </w:pPr>
      <w:r>
        <w:rPr>
          <w:rFonts w:ascii="Times New Roman" w:hAnsi="Times New Roman" w:eastAsia="Times New Roman"/>
          <w:b w:val="0"/>
          <w:i w:val="0"/>
          <w:sz w:val="24"/>
        </w:rPr>
        <w:t>Small ICT repair businesses manage several connected activities: device intake, fault description, diagnosis, assignment of work, repair updates, collection, and future retrieval of service history. When these activities are handled through paper notes, spreadsheets, and separate messaging conversations, records can become difficult to retrieve and customers may repeatedly contact the business for progress updates. The challenge is not simply the absence of software. Enterprise helpdesk platforms already exist, but they can be unnecessarily complex for a microbusiness that needs a focused repair workflow. OECD (2021) notes that smaller firms adopt digital practices more slowly and may limit adoption to basic services. Sagala and Őri (2024) recommend incremental digitalization aligned with an SME’s baseline and limitations, while Kallmuenzer et al. (2025) identify appropriate technology and workforce skills as important facilitators of SME digitalization. Ticketing research also shows that centralized systems can improve information dissemination, operational efficiency, and documentation (Ahmadpour &amp; Khaleghi, 2017).</w:t>
      </w:r>
    </w:p>
    <w:p>
      <w:pPr>
        <w:spacing w:before="0" w:after="0" w:line="276" w:lineRule="auto"/>
      </w:pPr>
      <w:r>
        <w:rPr>
          <w:rFonts w:ascii="Times New Roman" w:hAnsi="Times New Roman" w:eastAsia="Times New Roman"/>
          <w:b w:val="0"/>
          <w:i w:val="0"/>
          <w:sz w:val="24"/>
        </w:rPr>
        <w:t xml:space="preserve">This project therefore proposes RepairTrack, a lightweight and secure mobile-friendly web system tailored to small ICT repair businesses. Its contribution is a repair-specific workflow that combines device intake, technician accountability, QR-based customer status lookup, and service-history retrieval without requiring expensive enterprise tooling. The guiding question is: </w:t>
      </w:r>
      <w:r>
        <w:rPr>
          <w:rFonts w:ascii="Times New Roman" w:hAnsi="Times New Roman" w:eastAsia="Times New Roman"/>
          <w:b/>
          <w:i w:val="0"/>
          <w:sz w:val="24"/>
        </w:rPr>
        <w:t>How can a lightweight web-based repair tracking system improve record retrieval, repair-status visibility, and technician accountability in a small ICT repair business?</w:t>
      </w:r>
    </w:p>
    <w:p>
      <w:pPr>
        <w:spacing w:before="60" w:after="20" w:line="240" w:lineRule="auto"/>
      </w:pPr>
      <w:r>
        <w:rPr>
          <w:rFonts w:ascii="Times New Roman" w:hAnsi="Times New Roman" w:eastAsia="Times New Roman"/>
          <w:b/>
          <w:i w:val="0"/>
          <w:sz w:val="24"/>
        </w:rPr>
        <w:t>2. Project Goal, Objectives and Methodology</w:t>
      </w:r>
    </w:p>
    <w:p>
      <w:pPr>
        <w:spacing w:before="0" w:after="0" w:line="276" w:lineRule="auto"/>
      </w:pPr>
      <w:r>
        <w:rPr>
          <w:rFonts w:ascii="Times New Roman" w:hAnsi="Times New Roman" w:eastAsia="Times New Roman"/>
          <w:b/>
          <w:i w:val="0"/>
          <w:sz w:val="24"/>
        </w:rPr>
        <w:t xml:space="preserve">Goal: </w:t>
      </w:r>
      <w:r>
        <w:rPr>
          <w:rFonts w:ascii="Times New Roman" w:hAnsi="Times New Roman" w:eastAsia="Times New Roman"/>
          <w:b w:val="0"/>
          <w:i w:val="0"/>
          <w:sz w:val="24"/>
        </w:rPr>
        <w:t>To design, develop, and validate a secure RepairTrack prototype that improves the tracking of customer devices from intake to collection at a small ICT repair business.</w:t>
      </w:r>
    </w:p>
    <w:p>
      <w:pPr>
        <w:pStyle w:val="ListNumber"/>
        <w:spacing w:before="0" w:after="0" w:line="276" w:lineRule="auto"/>
        <w:ind w:left="403" w:hanging="259"/>
      </w:pPr>
      <w:r>
        <w:rPr>
          <w:rFonts w:ascii="Times New Roman" w:hAnsi="Times New Roman" w:eastAsia="Times New Roman"/>
          <w:b w:val="0"/>
          <w:i w:val="0"/>
          <w:sz w:val="24"/>
        </w:rPr>
        <w:t>Within Weeks 1-2, elicit and document functional and non-functional requirements through observation of the current workflow, interviews with the business owner and technicians, and review of existing repair records.</w:t>
      </w:r>
    </w:p>
    <w:p>
      <w:pPr>
        <w:pStyle w:val="ListNumber"/>
        <w:spacing w:before="0" w:after="0" w:line="276" w:lineRule="auto"/>
        <w:ind w:left="403" w:hanging="259"/>
      </w:pPr>
      <w:r>
        <w:rPr>
          <w:rFonts w:ascii="Times New Roman" w:hAnsi="Times New Roman" w:eastAsia="Times New Roman"/>
          <w:b w:val="0"/>
          <w:i w:val="0"/>
          <w:sz w:val="24"/>
        </w:rPr>
        <w:t>By Week 7, develop a mobile-friendly prototype supporting secure login, device registration, job assignment, repair-status updates, QR/reference-based customer lookup, and repair-history retrieval.</w:t>
      </w:r>
    </w:p>
    <w:p>
      <w:pPr>
        <w:pStyle w:val="ListNumber"/>
        <w:spacing w:before="0" w:after="0" w:line="276" w:lineRule="auto"/>
        <w:ind w:left="403" w:hanging="259"/>
      </w:pPr>
      <w:r>
        <w:rPr>
          <w:rFonts w:ascii="Times New Roman" w:hAnsi="Times New Roman" w:eastAsia="Times New Roman"/>
          <w:b w:val="0"/>
          <w:i w:val="0"/>
          <w:sz w:val="24"/>
        </w:rPr>
        <w:t>By Week 9, test the prototype using prepared test cases and a pilot with at least three staff users and ten sample repair jobs.</w:t>
      </w:r>
    </w:p>
    <w:p>
      <w:pPr>
        <w:pStyle w:val="ListNumber"/>
        <w:spacing w:before="0" w:after="0" w:line="276" w:lineRule="auto"/>
        <w:ind w:left="403" w:hanging="259"/>
      </w:pPr>
      <w:r>
        <w:rPr>
          <w:rFonts w:ascii="Times New Roman" w:hAnsi="Times New Roman" w:eastAsia="Times New Roman"/>
          <w:b w:val="0"/>
          <w:i w:val="0"/>
          <w:sz w:val="24"/>
        </w:rPr>
        <w:t>By Week 11, evaluate usability and operational value using task-completion times, user feedback, and an audit of status-change records, then document recommendations for future improvement.</w:t>
      </w:r>
    </w:p>
    <w:p>
      <w:pPr>
        <w:spacing w:before="0" w:after="0" w:line="276" w:lineRule="auto"/>
      </w:pPr>
      <w:r>
        <w:rPr>
          <w:rFonts w:ascii="Times New Roman" w:hAnsi="Times New Roman" w:eastAsia="Times New Roman"/>
          <w:b/>
          <w:i w:val="0"/>
          <w:sz w:val="24"/>
        </w:rPr>
        <w:t xml:space="preserve">Methodology: </w:t>
      </w:r>
      <w:r>
        <w:rPr>
          <w:rFonts w:ascii="Times New Roman" w:hAnsi="Times New Roman" w:eastAsia="Times New Roman"/>
          <w:b w:val="0"/>
          <w:i w:val="0"/>
          <w:sz w:val="24"/>
        </w:rPr>
        <w:t>The project will use an iterative Agile prototyping approach. Requirements will be elicited through interviews, observation, and document analysis. The prototype will be built in short sprints, tested against defined requirements, and evaluated using task-based usability testing and user feedback. The evaluation will consider system quality, information quality, use, and user satisfaction, consistent with the information-systems success perspective of DeLone and McLean (2003).</w:t>
      </w:r>
    </w:p>
    <w:p>
      <w:pPr>
        <w:spacing w:before="60" w:after="20" w:line="240" w:lineRule="auto"/>
      </w:pPr>
      <w:r>
        <w:rPr>
          <w:rFonts w:ascii="Times New Roman" w:hAnsi="Times New Roman" w:eastAsia="Times New Roman"/>
          <w:b/>
          <w:i w:val="0"/>
          <w:sz w:val="24"/>
        </w:rPr>
        <w:t>3. Scope, Constraints and Success Criteria</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824"/>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shd w:fill="D9EAF7"/>
          </w:tcPr>
          <w:p>
            <w:pPr>
              <w:spacing w:before="0" w:after="0" w:line="240" w:lineRule="auto"/>
            </w:pPr>
            <w:r>
              <w:rPr>
                <w:rFonts w:ascii="Times New Roman" w:hAnsi="Times New Roman" w:eastAsia="Times New Roman"/>
                <w:b/>
                <w:sz w:val="22"/>
              </w:rPr>
              <w:t>In Scope</w:t>
            </w:r>
          </w:p>
        </w:tc>
        <w:tc>
          <w:tcPr>
            <w:tcW w:type="dxa" w:w="4824"/>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shd w:fill="D9EAF7"/>
          </w:tcPr>
          <w:p>
            <w:pPr>
              <w:spacing w:before="0" w:after="0" w:line="240" w:lineRule="auto"/>
            </w:pPr>
            <w:r>
              <w:rPr>
                <w:rFonts w:ascii="Times New Roman" w:hAnsi="Times New Roman" w:eastAsia="Times New Roman"/>
                <w:b/>
                <w:sz w:val="22"/>
              </w:rPr>
              <w:t>Out of Scope</w:t>
            </w:r>
          </w:p>
        </w:tc>
      </w:tr>
      <w:tr>
        <w:tc>
          <w:tcPr>
            <w:tcW w:type="dxa" w:w="4824"/>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 Staff login with administrator and technician roles.</w:t>
            </w:r>
          </w:p>
        </w:tc>
        <w:tc>
          <w:tcPr>
            <w:tcW w:type="dxa" w:w="4824"/>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 Automatic device diagnosis, AI recommendations, or remote device access.</w:t>
            </w:r>
          </w:p>
        </w:tc>
      </w:tr>
      <w:tr>
        <w:tc>
          <w:tcPr>
            <w:tcW w:type="dxa" w:w="4824"/>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 Device intake: customer contacts, device details, reported issue, condition notes, and ticket reference.</w:t>
            </w:r>
          </w:p>
        </w:tc>
        <w:tc>
          <w:tcPr>
            <w:tcW w:type="dxa" w:w="4824"/>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 Online payment processing or M-Pesa integration.</w:t>
            </w:r>
          </w:p>
        </w:tc>
      </w:tr>
      <w:tr>
        <w:tc>
          <w:tcPr>
            <w:tcW w:type="dxa" w:w="4824"/>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 Job assignment, repair-status workflow, technician notes, and time-stamped audit trail.</w:t>
            </w:r>
          </w:p>
        </w:tc>
        <w:tc>
          <w:tcPr>
            <w:tcW w:type="dxa" w:w="4824"/>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 Native Android or iOS applications; the prototype will be mobile-friendly web software.</w:t>
            </w:r>
          </w:p>
        </w:tc>
      </w:tr>
      <w:tr>
        <w:tc>
          <w:tcPr>
            <w:tcW w:type="dxa" w:w="4824"/>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 QR code or reference-number status lookup for customers.</w:t>
            </w:r>
          </w:p>
        </w:tc>
        <w:tc>
          <w:tcPr>
            <w:tcW w:type="dxa" w:w="4824"/>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 Integration with suppliers, warranties, or accounting systems.</w:t>
            </w:r>
          </w:p>
        </w:tc>
      </w:tr>
      <w:tr>
        <w:tc>
          <w:tcPr>
            <w:tcW w:type="dxa" w:w="4824"/>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 Service-history search and a basic dashboard for pending and completed repairs.</w:t>
            </w:r>
          </w:p>
        </w:tc>
        <w:tc>
          <w:tcPr>
            <w:tcW w:type="dxa" w:w="4824"/>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 Bulk SMS gateway deployment; ready-for-collection messages may be simulated or sent through existing channels.</w:t>
            </w:r>
          </w:p>
        </w:tc>
      </w:tr>
      <w:tr>
        <w:tc>
          <w:tcPr>
            <w:tcW w:type="dxa" w:w="4824"/>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 Pilot testing at one small ICT repair business.</w:t>
            </w:r>
          </w:p>
        </w:tc>
        <w:tc>
          <w:tcPr>
            <w:tcW w:type="dxa" w:w="4824"/>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 Large-scale multi-branch deployment.</w:t>
            </w:r>
          </w:p>
        </w:tc>
      </w:tr>
    </w:tbl>
    <w:p>
      <w:pPr>
        <w:spacing w:before="60" w:after="20" w:line="240" w:lineRule="auto"/>
      </w:pPr>
      <w:r>
        <w:rPr>
          <w:rFonts w:ascii="Times New Roman" w:hAnsi="Times New Roman" w:eastAsia="Times New Roman"/>
          <w:b/>
          <w:i w:val="0"/>
          <w:sz w:val="24"/>
        </w:rPr>
        <w:t>Constraints</w:t>
      </w:r>
    </w:p>
    <w:p>
      <w:pPr>
        <w:spacing w:before="0" w:after="0" w:line="276" w:lineRule="auto"/>
      </w:pPr>
      <w:r>
        <w:rPr>
          <w:rFonts w:ascii="Times New Roman" w:hAnsi="Times New Roman" w:eastAsia="Times New Roman"/>
          <w:b w:val="0"/>
          <w:i w:val="0"/>
          <w:sz w:val="24"/>
        </w:rPr>
        <w:t>The project is limited to a 13-week semester, a low student budget, one pilot business, and a small number of staff users. Free and open-source tools will be prioritized. Customer information must be minimized and protected because the Data Protection Act, 2019 regulates the processing of personal data and defines responsibilities for data controllers and processors (Office of the Data Protection Commissioner [ODPC], n.d.).</w:t>
      </w:r>
    </w:p>
    <w:p>
      <w:pPr>
        <w:spacing w:before="60" w:after="20" w:line="240" w:lineRule="auto"/>
      </w:pPr>
      <w:r>
        <w:rPr>
          <w:rFonts w:ascii="Times New Roman" w:hAnsi="Times New Roman" w:eastAsia="Times New Roman"/>
          <w:b/>
          <w:i w:val="0"/>
          <w:sz w:val="24"/>
        </w:rPr>
        <w:t>Success Criteria</w:t>
      </w:r>
    </w:p>
    <w:p>
      <w:pPr>
        <w:pStyle w:val="ListBullet"/>
        <w:spacing w:before="0" w:after="0" w:line="276" w:lineRule="auto"/>
        <w:ind w:left="360" w:hanging="259"/>
      </w:pPr>
      <w:r>
        <w:rPr>
          <w:rFonts w:ascii="Times New Roman" w:hAnsi="Times New Roman" w:eastAsia="Times New Roman"/>
          <w:b w:val="0"/>
          <w:i w:val="0"/>
          <w:sz w:val="22"/>
        </w:rPr>
        <w:t>At least 90% of staff test users register a new device correctly in three minutes or less.</w:t>
      </w:r>
    </w:p>
    <w:p>
      <w:pPr>
        <w:pStyle w:val="ListBullet"/>
        <w:spacing w:before="0" w:after="0" w:line="276" w:lineRule="auto"/>
        <w:ind w:left="360" w:hanging="259"/>
      </w:pPr>
      <w:r>
        <w:rPr>
          <w:rFonts w:ascii="Times New Roman" w:hAnsi="Times New Roman" w:eastAsia="Times New Roman"/>
          <w:b w:val="0"/>
          <w:i w:val="0"/>
          <w:sz w:val="22"/>
        </w:rPr>
        <w:t>At least 90% of staff test users retrieve an existing repair record in 30 seconds or less.</w:t>
      </w:r>
    </w:p>
    <w:p>
      <w:pPr>
        <w:pStyle w:val="ListBullet"/>
        <w:spacing w:before="0" w:after="0" w:line="276" w:lineRule="auto"/>
        <w:ind w:left="360" w:hanging="259"/>
      </w:pPr>
      <w:r>
        <w:rPr>
          <w:rFonts w:ascii="Times New Roman" w:hAnsi="Times New Roman" w:eastAsia="Times New Roman"/>
          <w:b w:val="0"/>
          <w:i w:val="0"/>
          <w:sz w:val="22"/>
        </w:rPr>
        <w:t>A customer can check repair status in no more than three interaction steps using a valid QR code or reference number.</w:t>
      </w:r>
    </w:p>
    <w:p>
      <w:pPr>
        <w:pStyle w:val="ListBullet"/>
        <w:spacing w:before="0" w:after="0" w:line="276" w:lineRule="auto"/>
        <w:ind w:left="360" w:hanging="259"/>
      </w:pPr>
      <w:r>
        <w:rPr>
          <w:rFonts w:ascii="Times New Roman" w:hAnsi="Times New Roman" w:eastAsia="Times New Roman"/>
          <w:b w:val="0"/>
          <w:i w:val="0"/>
          <w:sz w:val="22"/>
        </w:rPr>
        <w:t>Every status change is recorded with the responsible user and timestamp.</w:t>
      </w:r>
    </w:p>
    <w:p>
      <w:pPr>
        <w:pStyle w:val="ListBullet"/>
        <w:spacing w:before="0" w:after="0" w:line="276" w:lineRule="auto"/>
        <w:ind w:left="360" w:hanging="259"/>
      </w:pPr>
      <w:r>
        <w:rPr>
          <w:rFonts w:ascii="Times New Roman" w:hAnsi="Times New Roman" w:eastAsia="Times New Roman"/>
          <w:b w:val="0"/>
          <w:i w:val="0"/>
          <w:sz w:val="22"/>
        </w:rPr>
        <w:t>At least 90% of prepared functional test cases pass before the final demonstration.</w:t>
      </w:r>
    </w:p>
    <w:p>
      <w:pPr>
        <w:spacing w:before="60" w:after="20" w:line="240" w:lineRule="auto"/>
      </w:pPr>
      <w:r>
        <w:rPr>
          <w:rFonts w:ascii="Times New Roman" w:hAnsi="Times New Roman" w:eastAsia="Times New Roman"/>
          <w:b/>
          <w:i w:val="0"/>
          <w:sz w:val="24"/>
        </w:rPr>
        <w:t>4. Key Requirements</w:t>
      </w:r>
    </w:p>
    <w:tbl>
      <w:tblPr>
        <w:tblStyle w:val="TableGrid"/>
        <w:tblW w:type="auto" w:w="0"/>
        <w:jc w:val="center"/>
        <w:tblLayout w:type="fixed"/>
        <w:tblLook w:firstColumn="1" w:firstRow="1" w:lastColumn="0" w:lastRow="0" w:noHBand="0" w:noVBand="1" w:val="04A0"/>
      </w:tblPr>
      <w:tblGrid>
        <w:gridCol w:w="648"/>
        <w:gridCol w:w="9000"/>
      </w:tblGrid>
      <w:tr>
        <w:trPr>
          <w:tblHeader w:val="true"/>
        </w:trPr>
        <w:tc>
          <w:tcPr>
            <w:tcW w:type="dxa" w:w="648"/>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shd w:fill="D9EAF7"/>
          </w:tcPr>
          <w:p>
            <w:pPr>
              <w:spacing w:before="0" w:after="0" w:line="240" w:lineRule="auto"/>
            </w:pPr>
            <w:r>
              <w:rPr>
                <w:rFonts w:ascii="Times New Roman" w:hAnsi="Times New Roman" w:eastAsia="Times New Roman"/>
                <w:b/>
                <w:sz w:val="22"/>
              </w:rPr>
              <w:t>ID</w:t>
            </w:r>
          </w:p>
        </w:tc>
        <w:tc>
          <w:tcPr>
            <w:tcW w:type="dxa" w:w="9000"/>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shd w:fill="D9EAF7"/>
          </w:tcPr>
          <w:p>
            <w:pPr>
              <w:spacing w:before="0" w:after="0" w:line="240" w:lineRule="auto"/>
            </w:pPr>
            <w:r>
              <w:rPr>
                <w:rFonts w:ascii="Times New Roman" w:hAnsi="Times New Roman" w:eastAsia="Times New Roman"/>
                <w:b/>
                <w:sz w:val="22"/>
              </w:rPr>
              <w:t>Functional Requirement</w:t>
            </w:r>
          </w:p>
        </w:tc>
      </w:tr>
      <w:tr>
        <w:tc>
          <w:tcPr>
            <w:tcW w:type="dxa" w:w="648"/>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F1</w:t>
            </w:r>
          </w:p>
        </w:tc>
        <w:tc>
          <w:tcPr>
            <w:tcW w:type="dxa" w:w="9000"/>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The system shall allow an administrator or technician to sign in and access functions permitted for their role.</w:t>
            </w:r>
          </w:p>
        </w:tc>
      </w:tr>
      <w:tr>
        <w:tc>
          <w:tcPr>
            <w:tcW w:type="dxa" w:w="648"/>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F2</w:t>
            </w:r>
          </w:p>
        </w:tc>
        <w:tc>
          <w:tcPr>
            <w:tcW w:type="dxa" w:w="9000"/>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The system shall register a repair job with customer contact details, device information, reported issue, intake date, and a unique ticket reference.</w:t>
            </w:r>
          </w:p>
        </w:tc>
      </w:tr>
      <w:tr>
        <w:tc>
          <w:tcPr>
            <w:tcW w:type="dxa" w:w="648"/>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F3</w:t>
            </w:r>
          </w:p>
        </w:tc>
        <w:tc>
          <w:tcPr>
            <w:tcW w:type="dxa" w:w="9000"/>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The system shall allow an administrator to assign a job to a technician and allow authorized staff to update its status using predefined workflow stages.</w:t>
            </w:r>
          </w:p>
        </w:tc>
      </w:tr>
      <w:tr>
        <w:tc>
          <w:tcPr>
            <w:tcW w:type="dxa" w:w="648"/>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F4</w:t>
            </w:r>
          </w:p>
        </w:tc>
        <w:tc>
          <w:tcPr>
            <w:tcW w:type="dxa" w:w="9000"/>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The system shall generate a QR code or ticket reference that allows a customer to view the current repair status without exposing internal technician notes.</w:t>
            </w:r>
          </w:p>
        </w:tc>
      </w:tr>
      <w:tr>
        <w:tc>
          <w:tcPr>
            <w:tcW w:type="dxa" w:w="648"/>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F5</w:t>
            </w:r>
          </w:p>
        </w:tc>
        <w:tc>
          <w:tcPr>
            <w:tcW w:type="dxa" w:w="9000"/>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The system shall keep a time-stamped audit trail and allow authorized staff to retrieve a device’s repair history.</w:t>
            </w:r>
          </w:p>
        </w:tc>
      </w:tr>
      <w:tr>
        <w:tc>
          <w:tcPr>
            <w:tcW w:type="dxa" w:w="648"/>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F6</w:t>
            </w:r>
          </w:p>
        </w:tc>
        <w:tc>
          <w:tcPr>
            <w:tcW w:type="dxa" w:w="9000"/>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The system shall display a dashboard summarizing pending, in-progress, ready-for-collection, and collected jobs.</w:t>
            </w:r>
          </w:p>
        </w:tc>
      </w:tr>
    </w:tbl>
    <w:p>
      <w:pPr>
        <w:spacing w:before="20" w:after="20" w:line="240" w:lineRule="auto"/>
      </w:pPr>
      <w:r>
        <w:rPr>
          <w:rFonts w:ascii="Times New Roman" w:hAnsi="Times New Roman" w:eastAsia="Times New Roman"/>
          <w:b/>
          <w:i w:val="0"/>
          <w:sz w:val="24"/>
        </w:rPr>
        <w:t>Non-Functional Requirements</w:t>
      </w:r>
    </w:p>
    <w:tbl>
      <w:tblPr>
        <w:tblStyle w:val="TableGrid"/>
        <w:tblW w:type="auto" w:w="0"/>
        <w:jc w:val="center"/>
        <w:tblLayout w:type="fixed"/>
        <w:tblLook w:firstColumn="1" w:firstRow="1" w:lastColumn="0" w:lastRow="0" w:noHBand="0" w:noVBand="1" w:val="04A0"/>
      </w:tblPr>
      <w:tblGrid>
        <w:gridCol w:w="792"/>
        <w:gridCol w:w="8856"/>
      </w:tblGrid>
      <w:tr>
        <w:trPr>
          <w:tblHeader w:val="true"/>
        </w:trPr>
        <w:tc>
          <w:tcPr>
            <w:tcW w:type="dxa" w:w="792"/>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shd w:fill="D9EAF7"/>
          </w:tcPr>
          <w:p>
            <w:pPr>
              <w:spacing w:before="0" w:after="0" w:line="240" w:lineRule="auto"/>
            </w:pPr>
            <w:r>
              <w:rPr>
                <w:rFonts w:ascii="Times New Roman" w:hAnsi="Times New Roman" w:eastAsia="Times New Roman"/>
                <w:b/>
                <w:sz w:val="22"/>
              </w:rPr>
              <w:t>ID</w:t>
            </w:r>
          </w:p>
        </w:tc>
        <w:tc>
          <w:tcPr>
            <w:tcW w:type="dxa" w:w="8856"/>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shd w:fill="D9EAF7"/>
          </w:tcPr>
          <w:p>
            <w:pPr>
              <w:spacing w:before="0" w:after="0" w:line="240" w:lineRule="auto"/>
            </w:pPr>
            <w:r>
              <w:rPr>
                <w:rFonts w:ascii="Times New Roman" w:hAnsi="Times New Roman" w:eastAsia="Times New Roman"/>
                <w:b/>
                <w:sz w:val="22"/>
              </w:rPr>
              <w:t>Non-Functional Requirement (Measurable)</w:t>
            </w:r>
          </w:p>
        </w:tc>
      </w:tr>
      <w:tr>
        <w:tc>
          <w:tcPr>
            <w:tcW w:type="dxa" w:w="792"/>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NFR1</w:t>
            </w:r>
          </w:p>
        </w:tc>
        <w:tc>
          <w:tcPr>
            <w:tcW w:type="dxa" w:w="8856"/>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Performance: 90% of dashboard and status-lookup pages shall load within 3 seconds on a stable mobile-data or Wi-Fi connection.</w:t>
            </w:r>
          </w:p>
        </w:tc>
      </w:tr>
      <w:tr>
        <w:tc>
          <w:tcPr>
            <w:tcW w:type="dxa" w:w="792"/>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NFR2</w:t>
            </w:r>
          </w:p>
        </w:tc>
        <w:tc>
          <w:tcPr>
            <w:tcW w:type="dxa" w:w="8856"/>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Usability: A first-time staff user shall register a device in 3 minutes or less after a brief orientation.</w:t>
            </w:r>
          </w:p>
        </w:tc>
      </w:tr>
      <w:tr>
        <w:tc>
          <w:tcPr>
            <w:tcW w:type="dxa" w:w="792"/>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NFR3</w:t>
            </w:r>
          </w:p>
        </w:tc>
        <w:tc>
          <w:tcPr>
            <w:tcW w:type="dxa" w:w="8856"/>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Security: Traffic shall use HTTPS in deployment; passwords shall be stored using a salted password-hashing algorithm such as Argon2id or bcrypt, and role-based access shall restrict internal data.</w:t>
            </w:r>
          </w:p>
        </w:tc>
      </w:tr>
      <w:tr>
        <w:tc>
          <w:tcPr>
            <w:tcW w:type="dxa" w:w="792"/>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NFR4</w:t>
            </w:r>
          </w:p>
        </w:tc>
        <w:tc>
          <w:tcPr>
            <w:tcW w:type="dxa" w:w="8856"/>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Privacy: Public status lookup shall reveal only the ticket reference, device type, and repair status; customer contact details and internal notes shall remain restricted.</w:t>
            </w:r>
          </w:p>
        </w:tc>
      </w:tr>
      <w:tr>
        <w:tc>
          <w:tcPr>
            <w:tcW w:type="dxa" w:w="792"/>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NFR5</w:t>
            </w:r>
          </w:p>
        </w:tc>
        <w:tc>
          <w:tcPr>
            <w:tcW w:type="dxa" w:w="8856"/>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Reliability and maintainability: The system shall preserve audit records during the pilot and use modular code with documented setup instructions.</w:t>
            </w:r>
          </w:p>
        </w:tc>
      </w:tr>
    </w:tbl>
    <w:p>
      <w:pPr>
        <w:spacing w:before="60" w:after="20" w:line="240" w:lineRule="auto"/>
      </w:pPr>
      <w:r>
        <w:rPr>
          <w:rFonts w:ascii="Times New Roman" w:hAnsi="Times New Roman" w:eastAsia="Times New Roman"/>
          <w:b/>
          <w:i w:val="0"/>
          <w:sz w:val="24"/>
        </w:rPr>
        <w:t>5. Initial Feasibility Assessment</w:t>
      </w:r>
    </w:p>
    <w:tbl>
      <w:tblPr>
        <w:tblStyle w:val="TableGrid"/>
        <w:tblW w:type="auto" w:w="0"/>
        <w:jc w:val="center"/>
        <w:tblLayout w:type="fixed"/>
        <w:tblLook w:firstColumn="1" w:firstRow="1" w:lastColumn="0" w:lastRow="0" w:noHBand="0" w:noVBand="1" w:val="04A0"/>
      </w:tblPr>
      <w:tblGrid>
        <w:gridCol w:w="1368"/>
        <w:gridCol w:w="4104"/>
        <w:gridCol w:w="4176"/>
      </w:tblGrid>
      <w:tr>
        <w:trPr>
          <w:tblHeader w:val="true"/>
        </w:trPr>
        <w:tc>
          <w:tcPr>
            <w:tcW w:type="dxa" w:w="1368"/>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shd w:fill="D9EAF7"/>
          </w:tcPr>
          <w:p>
            <w:pPr>
              <w:spacing w:before="0" w:after="0" w:line="240" w:lineRule="auto"/>
            </w:pPr>
            <w:r>
              <w:rPr>
                <w:rFonts w:ascii="Times New Roman" w:hAnsi="Times New Roman" w:eastAsia="Times New Roman"/>
                <w:b/>
                <w:sz w:val="22"/>
              </w:rPr>
              <w:t>Dimension</w:t>
            </w:r>
          </w:p>
        </w:tc>
        <w:tc>
          <w:tcPr>
            <w:tcW w:type="dxa" w:w="4104"/>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shd w:fill="D9EAF7"/>
          </w:tcPr>
          <w:p>
            <w:pPr>
              <w:spacing w:before="0" w:after="0" w:line="240" w:lineRule="auto"/>
            </w:pPr>
            <w:r>
              <w:rPr>
                <w:rFonts w:ascii="Times New Roman" w:hAnsi="Times New Roman" w:eastAsia="Times New Roman"/>
                <w:b/>
                <w:sz w:val="22"/>
              </w:rPr>
              <w:t>Assessment</w:t>
            </w:r>
          </w:p>
        </w:tc>
        <w:tc>
          <w:tcPr>
            <w:tcW w:type="dxa" w:w="4176"/>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shd w:fill="D9EAF7"/>
          </w:tcPr>
          <w:p>
            <w:pPr>
              <w:spacing w:before="0" w:after="0" w:line="240" w:lineRule="auto"/>
            </w:pPr>
            <w:r>
              <w:rPr>
                <w:rFonts w:ascii="Times New Roman" w:hAnsi="Times New Roman" w:eastAsia="Times New Roman"/>
                <w:b/>
                <w:sz w:val="22"/>
              </w:rPr>
              <w:t>Risk and Mitigation</w:t>
            </w:r>
          </w:p>
        </w:tc>
      </w:tr>
      <w:tr>
        <w:tc>
          <w:tcPr>
            <w:tcW w:type="dxa" w:w="1368"/>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0"/>
              </w:rPr>
              <w:t>Technical</w:t>
            </w:r>
          </w:p>
        </w:tc>
        <w:tc>
          <w:tcPr>
            <w:tcW w:type="dxa" w:w="4104"/>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0"/>
              </w:rPr>
              <w:t>High. The prototype can be built as a mobile-friendly web application using familiar open-source technologies such as HTML/CSS, JavaScript, a backend framework, and MySQL or SQLite. QR-code libraries are freely available.</w:t>
            </w:r>
          </w:p>
        </w:tc>
        <w:tc>
          <w:tcPr>
            <w:tcW w:type="dxa" w:w="4176"/>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0"/>
              </w:rPr>
              <w:t>Risk: feature overload. Mitigation: prioritize intake, workflow, QR lookup, audit trail, and history search before optional dashboard refinements.</w:t>
            </w:r>
          </w:p>
        </w:tc>
      </w:tr>
      <w:tr>
        <w:tc>
          <w:tcPr>
            <w:tcW w:type="dxa" w:w="1368"/>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0"/>
              </w:rPr>
              <w:t>Economic</w:t>
            </w:r>
          </w:p>
        </w:tc>
        <w:tc>
          <w:tcPr>
            <w:tcW w:type="dxa" w:w="4104"/>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0"/>
              </w:rPr>
              <w:t>High. The project can use free development tools, GitHub, local testing, and a free-tier hosting option for demonstration.</w:t>
            </w:r>
          </w:p>
        </w:tc>
        <w:tc>
          <w:tcPr>
            <w:tcW w:type="dxa" w:w="4176"/>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0"/>
              </w:rPr>
              <w:t>Risk: hosting or notification costs. Mitigation: use a local/demo deployment and simulate messages or use existing communication channels during the pilot.</w:t>
            </w:r>
          </w:p>
        </w:tc>
      </w:tr>
      <w:tr>
        <w:tc>
          <w:tcPr>
            <w:tcW w:type="dxa" w:w="1368"/>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0"/>
              </w:rPr>
              <w:t>Operational</w:t>
            </w:r>
          </w:p>
        </w:tc>
        <w:tc>
          <w:tcPr>
            <w:tcW w:type="dxa" w:w="4104"/>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0"/>
              </w:rPr>
              <w:t>Medium to high. A pilot business provides direct access to staff users and realistic repair scenarios. The interface will be designed for fast use on a phone or laptop.</w:t>
            </w:r>
          </w:p>
        </w:tc>
        <w:tc>
          <w:tcPr>
            <w:tcW w:type="dxa" w:w="4176"/>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0"/>
              </w:rPr>
              <w:t>Risk: staff may revert to familiar manual methods. Mitigation: keep data entry short, provide a one-page guide, and test with real workflow steps.</w:t>
            </w:r>
          </w:p>
        </w:tc>
      </w:tr>
      <w:tr>
        <w:tc>
          <w:tcPr>
            <w:tcW w:type="dxa" w:w="1368"/>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0"/>
              </w:rPr>
              <w:t>Legal and Ethical</w:t>
            </w:r>
          </w:p>
        </w:tc>
        <w:tc>
          <w:tcPr>
            <w:tcW w:type="dxa" w:w="4104"/>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0"/>
              </w:rPr>
              <w:t>Medium. The prototype handles customer contact data and device details, so informed consent, data minimization, and access restrictions are necessary.</w:t>
            </w:r>
          </w:p>
        </w:tc>
        <w:tc>
          <w:tcPr>
            <w:tcW w:type="dxa" w:w="4176"/>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0"/>
              </w:rPr>
              <w:t>Risk: unauthorized exposure of customer information. Mitigation: restrict roles, minimize public fields, hash passwords, and use test data during development.</w:t>
            </w:r>
          </w:p>
        </w:tc>
      </w:tr>
      <w:tr>
        <w:tc>
          <w:tcPr>
            <w:tcW w:type="dxa" w:w="1368"/>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0"/>
              </w:rPr>
              <w:t>Schedule</w:t>
            </w:r>
          </w:p>
        </w:tc>
        <w:tc>
          <w:tcPr>
            <w:tcW w:type="dxa" w:w="4104"/>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0"/>
              </w:rPr>
              <w:t>High. The focused scope is achievable in 13 weeks with weekly milestones and a contingency period before final submission.</w:t>
            </w:r>
          </w:p>
        </w:tc>
        <w:tc>
          <w:tcPr>
            <w:tcW w:type="dxa" w:w="4176"/>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0"/>
              </w:rPr>
              <w:t>Risk: delayed coding or testing. Mitigation: freeze scope after Week 2 and maintain a prioritized backlog.</w:t>
            </w:r>
          </w:p>
        </w:tc>
      </w:tr>
    </w:tbl>
    <w:p>
      <w:pPr>
        <w:spacing w:before="60" w:after="20" w:line="240" w:lineRule="auto"/>
      </w:pPr>
      <w:r>
        <w:rPr>
          <w:rFonts w:ascii="Times New Roman" w:hAnsi="Times New Roman" w:eastAsia="Times New Roman"/>
          <w:b/>
          <w:i w:val="0"/>
          <w:sz w:val="24"/>
        </w:rPr>
        <w:t>6. References</w:t>
      </w:r>
    </w:p>
    <w:p>
      <w:pPr>
        <w:spacing w:before="0" w:after="20" w:line="240" w:lineRule="auto"/>
        <w:ind w:left="360" w:hanging="360"/>
      </w:pPr>
      <w:r>
        <w:rPr>
          <w:rFonts w:ascii="Times New Roman" w:hAnsi="Times New Roman" w:eastAsia="Times New Roman"/>
          <w:b w:val="0"/>
          <w:i w:val="0"/>
          <w:sz w:val="20"/>
        </w:rPr>
        <w:t>Ahmadpour, S., &amp; Khaleghi, A. (2017). Central trouble ticketing (CTT) system as a communication tool between stakeholders of Center of Training and Learning (CTL). In Proceedings of the 9th International Conference on Information Management and Engineering (pp. 91–95). Association for Computing Machinery. https://doi.org/10.1145/3149572.3149601</w:t>
      </w:r>
    </w:p>
    <w:p>
      <w:pPr>
        <w:spacing w:before="0" w:after="20" w:line="240" w:lineRule="auto"/>
        <w:ind w:left="360" w:hanging="360"/>
      </w:pPr>
      <w:r>
        <w:rPr>
          <w:rFonts w:ascii="Times New Roman" w:hAnsi="Times New Roman" w:eastAsia="Times New Roman"/>
          <w:b w:val="0"/>
          <w:i w:val="0"/>
          <w:sz w:val="20"/>
        </w:rPr>
        <w:t>DeLone, W. H., &amp; McLean, E. R. (2003). The DeLone and McLean model of information systems success: A ten-year update. Journal of Management Information Systems, 19(4), 9–30. https://doi.org/10.1080/07421222.2003.11045748</w:t>
      </w:r>
    </w:p>
    <w:p>
      <w:pPr>
        <w:spacing w:before="0" w:after="20" w:line="240" w:lineRule="auto"/>
        <w:ind w:left="360" w:hanging="360"/>
      </w:pPr>
      <w:r>
        <w:rPr>
          <w:rFonts w:ascii="Times New Roman" w:hAnsi="Times New Roman" w:eastAsia="Times New Roman"/>
          <w:b w:val="0"/>
          <w:i w:val="0"/>
          <w:sz w:val="20"/>
        </w:rPr>
        <w:t>International Organization for Standardization. (2023). ISO/IEC 25010:2023: Systems and software engineering—Systems and software Quality Requirements and Evaluation (SQuaRE)—Product quality model.</w:t>
      </w:r>
    </w:p>
    <w:p>
      <w:pPr>
        <w:spacing w:before="0" w:after="20" w:line="240" w:lineRule="auto"/>
        <w:ind w:left="360" w:hanging="360"/>
      </w:pPr>
      <w:r>
        <w:rPr>
          <w:rFonts w:ascii="Times New Roman" w:hAnsi="Times New Roman" w:eastAsia="Times New Roman"/>
          <w:b w:val="0"/>
          <w:i w:val="0"/>
          <w:sz w:val="20"/>
        </w:rPr>
        <w:t>Kallmuenzer, A., Mikhaylov, A., Chelaru, M., &amp; Czakon, W. (2025). Adoption and performance outcome of digitalization in small and medium-sized enterprises. Review of Managerial Science, 19, 2011–2038. https://doi.org/10.1007/s11846-024-00744-2</w:t>
      </w:r>
    </w:p>
    <w:p>
      <w:pPr>
        <w:spacing w:before="0" w:after="20" w:line="240" w:lineRule="auto"/>
        <w:ind w:left="360" w:hanging="360"/>
      </w:pPr>
      <w:r>
        <w:rPr>
          <w:rFonts w:ascii="Times New Roman" w:hAnsi="Times New Roman" w:eastAsia="Times New Roman"/>
          <w:b w:val="0"/>
          <w:i w:val="0"/>
          <w:sz w:val="20"/>
        </w:rPr>
        <w:t>Kenya National Bureau of Statistics. (2016). Micro, small and medium establishments (MSME) survey: Basic report.</w:t>
      </w:r>
    </w:p>
    <w:p>
      <w:pPr>
        <w:spacing w:before="0" w:after="20" w:line="240" w:lineRule="auto"/>
        <w:ind w:left="360" w:hanging="360"/>
      </w:pPr>
      <w:r>
        <w:rPr>
          <w:rFonts w:ascii="Times New Roman" w:hAnsi="Times New Roman" w:eastAsia="Times New Roman"/>
          <w:b w:val="0"/>
          <w:i w:val="0"/>
          <w:sz w:val="20"/>
        </w:rPr>
        <w:t>Office of the Data Protection Commissioner. (n.d.). Data protection laws Kenya. https://www.odpc.go.ke/data-protection-laws-kenya/</w:t>
      </w:r>
    </w:p>
    <w:p>
      <w:pPr>
        <w:spacing w:before="0" w:after="20" w:line="240" w:lineRule="auto"/>
        <w:ind w:left="360" w:hanging="360"/>
      </w:pPr>
      <w:r>
        <w:rPr>
          <w:rFonts w:ascii="Times New Roman" w:hAnsi="Times New Roman" w:eastAsia="Times New Roman"/>
          <w:b w:val="0"/>
          <w:i w:val="0"/>
          <w:sz w:val="20"/>
        </w:rPr>
        <w:t>Organisation for Economic Co-operation and Development. (2021). The digital transformation of SMEs. OECD Publishing. https://doi.org/10.1787/bdb9256a-en</w:t>
      </w:r>
    </w:p>
    <w:p>
      <w:pPr>
        <w:spacing w:before="0" w:after="20" w:line="240" w:lineRule="auto"/>
        <w:ind w:left="360" w:hanging="360"/>
      </w:pPr>
      <w:r>
        <w:rPr>
          <w:rFonts w:ascii="Times New Roman" w:hAnsi="Times New Roman" w:eastAsia="Times New Roman"/>
          <w:b w:val="0"/>
          <w:i w:val="0"/>
          <w:sz w:val="20"/>
        </w:rPr>
        <w:t>OWASP Foundation. (n.d.). Password storage cheat sheet. OWASP Cheat Sheet Series. https://cheatsheetseries.owasp.org/cheatsheets/Password_Storage_Cheat_Sheet.html</w:t>
      </w:r>
    </w:p>
    <w:p>
      <w:pPr>
        <w:spacing w:before="0" w:after="20" w:line="240" w:lineRule="auto"/>
        <w:ind w:left="360" w:hanging="360"/>
      </w:pPr>
      <w:r>
        <w:rPr>
          <w:rFonts w:ascii="Times New Roman" w:hAnsi="Times New Roman" w:eastAsia="Times New Roman"/>
          <w:b w:val="0"/>
          <w:i w:val="0"/>
          <w:sz w:val="20"/>
        </w:rPr>
        <w:t>Sagala, G. H., &amp; Őri, D. (2024). Toward SMEs digital transformation success: A systematic literature review. Information Systems and e-Business Management, 22, 667–719. https://doi.org/10.1007/s10257-024-00682-2</w:t>
      </w:r>
    </w:p>
    <w:p>
      <w:pPr>
        <w:spacing w:before="60" w:after="20" w:line="240" w:lineRule="auto"/>
      </w:pPr>
      <w:r>
        <w:rPr>
          <w:rFonts w:ascii="Times New Roman" w:hAnsi="Times New Roman" w:eastAsia="Times New Roman"/>
          <w:b/>
          <w:i w:val="0"/>
          <w:sz w:val="24"/>
        </w:rPr>
        <w:t>7. Estimated Budget</w:t>
      </w:r>
    </w:p>
    <w:tbl>
      <w:tblPr>
        <w:tblStyle w:val="TableGrid"/>
        <w:tblW w:type="auto" w:w="0"/>
        <w:jc w:val="center"/>
        <w:tblLayout w:type="fixed"/>
        <w:tblLook w:firstColumn="1" w:firstRow="1" w:lastColumn="0" w:lastRow="0" w:noHBand="0" w:noVBand="1" w:val="04A0"/>
      </w:tblPr>
      <w:tblGrid>
        <w:gridCol w:w="3744"/>
        <w:gridCol w:w="2015"/>
        <w:gridCol w:w="3888"/>
      </w:tblGrid>
      <w:tr>
        <w:trPr>
          <w:tblHeader w:val="true"/>
        </w:trPr>
        <w:tc>
          <w:tcPr>
            <w:tcW w:type="dxa" w:w="3744"/>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shd w:fill="D9EAF7"/>
          </w:tcPr>
          <w:p>
            <w:pPr>
              <w:spacing w:before="0" w:after="0" w:line="240" w:lineRule="auto"/>
            </w:pPr>
            <w:r>
              <w:rPr>
                <w:rFonts w:ascii="Times New Roman" w:hAnsi="Times New Roman" w:eastAsia="Times New Roman"/>
                <w:b/>
                <w:sz w:val="22"/>
              </w:rPr>
              <w:t>Item</w:t>
            </w:r>
          </w:p>
        </w:tc>
        <w:tc>
          <w:tcPr>
            <w:tcW w:type="dxa" w:w="2015"/>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shd w:fill="D9EAF7"/>
          </w:tcPr>
          <w:p>
            <w:pPr>
              <w:spacing w:before="0" w:after="0" w:line="240" w:lineRule="auto"/>
            </w:pPr>
            <w:r>
              <w:rPr>
                <w:rFonts w:ascii="Times New Roman" w:hAnsi="Times New Roman" w:eastAsia="Times New Roman"/>
                <w:b/>
                <w:sz w:val="22"/>
              </w:rPr>
              <w:t>Estimated Cost (KES)</w:t>
            </w:r>
          </w:p>
        </w:tc>
        <w:tc>
          <w:tcPr>
            <w:tcW w:type="dxa" w:w="3888"/>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shd w:fill="D9EAF7"/>
          </w:tcPr>
          <w:p>
            <w:pPr>
              <w:spacing w:before="0" w:after="0" w:line="240" w:lineRule="auto"/>
            </w:pPr>
            <w:r>
              <w:rPr>
                <w:rFonts w:ascii="Times New Roman" w:hAnsi="Times New Roman" w:eastAsia="Times New Roman"/>
                <w:b/>
                <w:sz w:val="22"/>
              </w:rPr>
              <w:t>Notes</w:t>
            </w:r>
          </w:p>
        </w:tc>
      </w:tr>
      <w:tr>
        <w:tc>
          <w:tcPr>
            <w:tcW w:type="dxa" w:w="3744"/>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Development tools and libraries</w:t>
            </w:r>
          </w:p>
        </w:tc>
        <w:tc>
          <w:tcPr>
            <w:tcW w:type="dxa" w:w="2015"/>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0</w:t>
            </w:r>
          </w:p>
        </w:tc>
        <w:tc>
          <w:tcPr>
            <w:tcW w:type="dxa" w:w="3888"/>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Open-source tools, QR library, GitHub, and local database.</w:t>
            </w:r>
          </w:p>
        </w:tc>
      </w:tr>
      <w:tr>
        <w:tc>
          <w:tcPr>
            <w:tcW w:type="dxa" w:w="3744"/>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Internet/data for development and pilot</w:t>
            </w:r>
          </w:p>
        </w:tc>
        <w:tc>
          <w:tcPr>
            <w:tcW w:type="dxa" w:w="2015"/>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1,500</w:t>
            </w:r>
          </w:p>
        </w:tc>
        <w:tc>
          <w:tcPr>
            <w:tcW w:type="dxa" w:w="3888"/>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Testing, demonstrations, and deployment setup.</w:t>
            </w:r>
          </w:p>
        </w:tc>
      </w:tr>
      <w:tr>
        <w:tc>
          <w:tcPr>
            <w:tcW w:type="dxa" w:w="3744"/>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Printing of intake samples and evaluation forms</w:t>
            </w:r>
          </w:p>
        </w:tc>
        <w:tc>
          <w:tcPr>
            <w:tcW w:type="dxa" w:w="2015"/>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500</w:t>
            </w:r>
          </w:p>
        </w:tc>
        <w:tc>
          <w:tcPr>
            <w:tcW w:type="dxa" w:w="3888"/>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Pilot forms, quick guide, and questionnaires.</w:t>
            </w:r>
          </w:p>
        </w:tc>
      </w:tr>
      <w:tr>
        <w:tc>
          <w:tcPr>
            <w:tcW w:type="dxa" w:w="3744"/>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Contingency</w:t>
            </w:r>
          </w:p>
        </w:tc>
        <w:tc>
          <w:tcPr>
            <w:tcW w:type="dxa" w:w="2015"/>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500</w:t>
            </w:r>
          </w:p>
        </w:tc>
        <w:tc>
          <w:tcPr>
            <w:tcW w:type="dxa" w:w="3888"/>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Unexpected minor costs.</w:t>
            </w:r>
          </w:p>
        </w:tc>
      </w:tr>
      <w:tr>
        <w:tc>
          <w:tcPr>
            <w:tcW w:type="dxa" w:w="3744"/>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Total</w:t>
            </w:r>
          </w:p>
        </w:tc>
        <w:tc>
          <w:tcPr>
            <w:tcW w:type="dxa" w:w="2015"/>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2,500</w:t>
            </w:r>
          </w:p>
        </w:tc>
        <w:tc>
          <w:tcPr>
            <w:tcW w:type="dxa" w:w="3888"/>
            <w:tcMar>
              <w:top w:w="50" w:type="dxa"/>
              <w:start w:w="70" w:type="dxa"/>
              <w:bottom w:w="50" w:type="dxa"/>
              <w:end w:w="70"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sz w:val="21"/>
              </w:rPr>
              <w:t>The prototype prioritizes free tools and low-cost testing.</w:t>
            </w:r>
          </w:p>
        </w:tc>
      </w:tr>
    </w:tbl>
    <w:p>
      <w:pPr>
        <w:sectPr>
          <w:footerReference w:type="default" r:id="rId9"/>
          <w:pgSz w:w="12240" w:h="15840"/>
          <w:pgMar w:top="936" w:right="1440" w:bottom="936" w:left="1440" w:header="720" w:footer="720" w:gutter="0"/>
          <w:cols w:space="720"/>
          <w:docGrid w:linePitch="360"/>
        </w:sectPr>
      </w:pPr>
    </w:p>
    <w:p>
      <w:pPr>
        <w:spacing w:before="60" w:after="20" w:line="240" w:lineRule="auto"/>
      </w:pPr>
      <w:r>
        <w:rPr>
          <w:rFonts w:ascii="Times New Roman" w:hAnsi="Times New Roman" w:eastAsia="Times New Roman"/>
          <w:b/>
          <w:i w:val="0"/>
          <w:sz w:val="24"/>
        </w:rPr>
        <w:t>8. Gantt Chart: 13-Week Project Schedule</w:t>
      </w:r>
    </w:p>
    <w:tbl>
      <w:tblPr>
        <w:tblStyle w:val="TableGrid"/>
        <w:tblW w:type="auto" w:w="0"/>
        <w:jc w:val="center"/>
        <w:tblLayout w:type="fixed"/>
        <w:tblLook w:firstColumn="1" w:firstRow="1" w:lastColumn="0" w:lastRow="0" w:noHBand="0" w:noVBand="1" w:val="04A0"/>
      </w:tblPr>
      <w:tblGrid>
        <w:gridCol w:w="5256"/>
        <w:gridCol w:w="669"/>
        <w:gridCol w:w="669"/>
        <w:gridCol w:w="669"/>
        <w:gridCol w:w="669"/>
        <w:gridCol w:w="669"/>
        <w:gridCol w:w="669"/>
        <w:gridCol w:w="669"/>
        <w:gridCol w:w="669"/>
        <w:gridCol w:w="669"/>
        <w:gridCol w:w="669"/>
        <w:gridCol w:w="669"/>
        <w:gridCol w:w="669"/>
        <w:gridCol w:w="669"/>
      </w:tblGrid>
      <w:tr>
        <w:trPr>
          <w:tblHeader w:val="true"/>
        </w:trPr>
        <w:tc>
          <w:tcPr>
            <w:tcW w:type="dxa" w:w="5256"/>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D9EAF7"/>
          </w:tcPr>
          <w:p>
            <w:pPr>
              <w:spacing w:before="0" w:after="0" w:line="240" w:lineRule="auto"/>
            </w:pPr>
            <w:r>
              <w:rPr>
                <w:rFonts w:ascii="Times New Roman" w:hAnsi="Times New Roman" w:eastAsia="Times New Roman"/>
                <w:b/>
                <w:sz w:val="18"/>
              </w:rPr>
              <w:t>Activity</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D9EAF7"/>
          </w:tcPr>
          <w:p>
            <w:pPr>
              <w:spacing w:before="0" w:after="0" w:line="240" w:lineRule="auto"/>
              <w:jc w:val="center"/>
            </w:pPr>
            <w:r>
              <w:rPr>
                <w:rFonts w:ascii="Times New Roman" w:hAnsi="Times New Roman" w:eastAsia="Times New Roman"/>
                <w:b/>
                <w:sz w:val="18"/>
              </w:rPr>
              <w:t>W1</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D9EAF7"/>
          </w:tcPr>
          <w:p>
            <w:pPr>
              <w:spacing w:before="0" w:after="0" w:line="240" w:lineRule="auto"/>
              <w:jc w:val="center"/>
            </w:pPr>
            <w:r>
              <w:rPr>
                <w:rFonts w:ascii="Times New Roman" w:hAnsi="Times New Roman" w:eastAsia="Times New Roman"/>
                <w:b/>
                <w:sz w:val="18"/>
              </w:rPr>
              <w:t>W2</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D9EAF7"/>
          </w:tcPr>
          <w:p>
            <w:pPr>
              <w:spacing w:before="0" w:after="0" w:line="240" w:lineRule="auto"/>
              <w:jc w:val="center"/>
            </w:pPr>
            <w:r>
              <w:rPr>
                <w:rFonts w:ascii="Times New Roman" w:hAnsi="Times New Roman" w:eastAsia="Times New Roman"/>
                <w:b/>
                <w:sz w:val="18"/>
              </w:rPr>
              <w:t>W3</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D9EAF7"/>
          </w:tcPr>
          <w:p>
            <w:pPr>
              <w:spacing w:before="0" w:after="0" w:line="240" w:lineRule="auto"/>
              <w:jc w:val="center"/>
            </w:pPr>
            <w:r>
              <w:rPr>
                <w:rFonts w:ascii="Times New Roman" w:hAnsi="Times New Roman" w:eastAsia="Times New Roman"/>
                <w:b/>
                <w:sz w:val="18"/>
              </w:rPr>
              <w:t>W4</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D9EAF7"/>
          </w:tcPr>
          <w:p>
            <w:pPr>
              <w:spacing w:before="0" w:after="0" w:line="240" w:lineRule="auto"/>
              <w:jc w:val="center"/>
            </w:pPr>
            <w:r>
              <w:rPr>
                <w:rFonts w:ascii="Times New Roman" w:hAnsi="Times New Roman" w:eastAsia="Times New Roman"/>
                <w:b/>
                <w:sz w:val="18"/>
              </w:rPr>
              <w:t>W5</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D9EAF7"/>
          </w:tcPr>
          <w:p>
            <w:pPr>
              <w:spacing w:before="0" w:after="0" w:line="240" w:lineRule="auto"/>
              <w:jc w:val="center"/>
            </w:pPr>
            <w:r>
              <w:rPr>
                <w:rFonts w:ascii="Times New Roman" w:hAnsi="Times New Roman" w:eastAsia="Times New Roman"/>
                <w:b/>
                <w:sz w:val="18"/>
              </w:rPr>
              <w:t>W6</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D9EAF7"/>
          </w:tcPr>
          <w:p>
            <w:pPr>
              <w:spacing w:before="0" w:after="0" w:line="240" w:lineRule="auto"/>
              <w:jc w:val="center"/>
            </w:pPr>
            <w:r>
              <w:rPr>
                <w:rFonts w:ascii="Times New Roman" w:hAnsi="Times New Roman" w:eastAsia="Times New Roman"/>
                <w:b/>
                <w:sz w:val="18"/>
              </w:rPr>
              <w:t>W7</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D9EAF7"/>
          </w:tcPr>
          <w:p>
            <w:pPr>
              <w:spacing w:before="0" w:after="0" w:line="240" w:lineRule="auto"/>
              <w:jc w:val="center"/>
            </w:pPr>
            <w:r>
              <w:rPr>
                <w:rFonts w:ascii="Times New Roman" w:hAnsi="Times New Roman" w:eastAsia="Times New Roman"/>
                <w:b/>
                <w:sz w:val="18"/>
              </w:rPr>
              <w:t>W8</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D9EAF7"/>
          </w:tcPr>
          <w:p>
            <w:pPr>
              <w:spacing w:before="0" w:after="0" w:line="240" w:lineRule="auto"/>
              <w:jc w:val="center"/>
            </w:pPr>
            <w:r>
              <w:rPr>
                <w:rFonts w:ascii="Times New Roman" w:hAnsi="Times New Roman" w:eastAsia="Times New Roman"/>
                <w:b/>
                <w:sz w:val="18"/>
              </w:rPr>
              <w:t>W9</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D9EAF7"/>
          </w:tcPr>
          <w:p>
            <w:pPr>
              <w:spacing w:before="0" w:after="0" w:line="240" w:lineRule="auto"/>
              <w:jc w:val="center"/>
            </w:pPr>
            <w:r>
              <w:rPr>
                <w:rFonts w:ascii="Times New Roman" w:hAnsi="Times New Roman" w:eastAsia="Times New Roman"/>
                <w:b/>
                <w:sz w:val="18"/>
              </w:rPr>
              <w:t>W10</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D9EAF7"/>
          </w:tcPr>
          <w:p>
            <w:pPr>
              <w:spacing w:before="0" w:after="0" w:line="240" w:lineRule="auto"/>
              <w:jc w:val="center"/>
            </w:pPr>
            <w:r>
              <w:rPr>
                <w:rFonts w:ascii="Times New Roman" w:hAnsi="Times New Roman" w:eastAsia="Times New Roman"/>
                <w:b/>
                <w:sz w:val="18"/>
              </w:rPr>
              <w:t>W11</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D9EAF7"/>
          </w:tcPr>
          <w:p>
            <w:pPr>
              <w:spacing w:before="0" w:after="0" w:line="240" w:lineRule="auto"/>
              <w:jc w:val="center"/>
            </w:pPr>
            <w:r>
              <w:rPr>
                <w:rFonts w:ascii="Times New Roman" w:hAnsi="Times New Roman" w:eastAsia="Times New Roman"/>
                <w:b/>
                <w:sz w:val="18"/>
              </w:rPr>
              <w:t>W12</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D9EAF7"/>
          </w:tcPr>
          <w:p>
            <w:pPr>
              <w:spacing w:before="0" w:after="0" w:line="240" w:lineRule="auto"/>
              <w:jc w:val="center"/>
            </w:pPr>
            <w:r>
              <w:rPr>
                <w:rFonts w:ascii="Times New Roman" w:hAnsi="Times New Roman" w:eastAsia="Times New Roman"/>
                <w:b/>
                <w:sz w:val="18"/>
              </w:rPr>
              <w:t>W13</w:t>
            </w:r>
          </w:p>
        </w:tc>
      </w:tr>
      <w:tr>
        <w:tc>
          <w:tcPr>
            <w:tcW w:type="dxa" w:w="5256"/>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b w:val="0"/>
                <w:sz w:val="18"/>
              </w:rPr>
              <w:t>Topic selection, scan, and concept paper</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B7DEE8"/>
          </w:tcPr>
          <w:p>
            <w:pPr>
              <w:spacing w:before="0" w:after="0" w:line="240" w:lineRule="auto"/>
              <w:jc w:val="center"/>
            </w:pPr>
            <w:r>
              <w:rPr>
                <w:rFonts w:ascii="Times New Roman" w:hAnsi="Times New Roman" w:eastAsia="Times New Roman"/>
                <w:b w:val="0"/>
                <w:sz w:val="18"/>
              </w:rPr>
              <w:t>●</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r>
      <w:tr>
        <w:tc>
          <w:tcPr>
            <w:tcW w:type="dxa" w:w="5256"/>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b w:val="0"/>
                <w:sz w:val="18"/>
              </w:rPr>
              <w:t>Requirements elicitation</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B7DEE8"/>
          </w:tcPr>
          <w:p>
            <w:pPr>
              <w:spacing w:before="0" w:after="0" w:line="240" w:lineRule="auto"/>
              <w:jc w:val="center"/>
            </w:pPr>
            <w:r>
              <w:rPr>
                <w:rFonts w:ascii="Times New Roman" w:hAnsi="Times New Roman" w:eastAsia="Times New Roman"/>
                <w:b w:val="0"/>
                <w:sz w:val="18"/>
              </w:rPr>
              <w:t>●</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B7DEE8"/>
          </w:tcPr>
          <w:p>
            <w:pPr>
              <w:spacing w:before="0" w:after="0" w:line="240" w:lineRule="auto"/>
              <w:jc w:val="center"/>
            </w:pPr>
            <w:r>
              <w:rPr>
                <w:rFonts w:ascii="Times New Roman" w:hAnsi="Times New Roman" w:eastAsia="Times New Roman"/>
                <w:b w:val="0"/>
                <w:sz w:val="18"/>
              </w:rPr>
              <w:t>●</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r>
      <w:tr>
        <w:tc>
          <w:tcPr>
            <w:tcW w:type="dxa" w:w="5256"/>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b w:val="0"/>
                <w:sz w:val="18"/>
              </w:rPr>
              <w:t>Literature review and specification</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B7DEE8"/>
          </w:tcPr>
          <w:p>
            <w:pPr>
              <w:spacing w:before="0" w:after="0" w:line="240" w:lineRule="auto"/>
              <w:jc w:val="center"/>
            </w:pPr>
            <w:r>
              <w:rPr>
                <w:rFonts w:ascii="Times New Roman" w:hAnsi="Times New Roman" w:eastAsia="Times New Roman"/>
                <w:b w:val="0"/>
                <w:sz w:val="18"/>
              </w:rPr>
              <w:t>●</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B7DEE8"/>
          </w:tcPr>
          <w:p>
            <w:pPr>
              <w:spacing w:before="0" w:after="0" w:line="240" w:lineRule="auto"/>
              <w:jc w:val="center"/>
            </w:pPr>
            <w:r>
              <w:rPr>
                <w:rFonts w:ascii="Times New Roman" w:hAnsi="Times New Roman" w:eastAsia="Times New Roman"/>
                <w:b w:val="0"/>
                <w:sz w:val="18"/>
              </w:rPr>
              <w:t>●</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r>
      <w:tr>
        <w:tc>
          <w:tcPr>
            <w:tcW w:type="dxa" w:w="5256"/>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b w:val="0"/>
                <w:sz w:val="18"/>
              </w:rPr>
              <w:t>Analysis, database design, and wireframes</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B7DEE8"/>
          </w:tcPr>
          <w:p>
            <w:pPr>
              <w:spacing w:before="0" w:after="0" w:line="240" w:lineRule="auto"/>
              <w:jc w:val="center"/>
            </w:pPr>
            <w:r>
              <w:rPr>
                <w:rFonts w:ascii="Times New Roman" w:hAnsi="Times New Roman" w:eastAsia="Times New Roman"/>
                <w:b w:val="0"/>
                <w:sz w:val="18"/>
              </w:rPr>
              <w:t>●</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B7DEE8"/>
          </w:tcPr>
          <w:p>
            <w:pPr>
              <w:spacing w:before="0" w:after="0" w:line="240" w:lineRule="auto"/>
              <w:jc w:val="center"/>
            </w:pPr>
            <w:r>
              <w:rPr>
                <w:rFonts w:ascii="Times New Roman" w:hAnsi="Times New Roman" w:eastAsia="Times New Roman"/>
                <w:b w:val="0"/>
                <w:sz w:val="18"/>
              </w:rPr>
              <w:t>●</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r>
      <w:tr>
        <w:tc>
          <w:tcPr>
            <w:tcW w:type="dxa" w:w="5256"/>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b w:val="0"/>
                <w:sz w:val="18"/>
              </w:rPr>
              <w:t>Sprint 1: login, roles, and intake</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B7DEE8"/>
          </w:tcPr>
          <w:p>
            <w:pPr>
              <w:spacing w:before="0" w:after="0" w:line="240" w:lineRule="auto"/>
              <w:jc w:val="center"/>
            </w:pPr>
            <w:r>
              <w:rPr>
                <w:rFonts w:ascii="Times New Roman" w:hAnsi="Times New Roman" w:eastAsia="Times New Roman"/>
                <w:b w:val="0"/>
                <w:sz w:val="18"/>
              </w:rPr>
              <w:t>●</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B7DEE8"/>
          </w:tcPr>
          <w:p>
            <w:pPr>
              <w:spacing w:before="0" w:after="0" w:line="240" w:lineRule="auto"/>
              <w:jc w:val="center"/>
            </w:pPr>
            <w:r>
              <w:rPr>
                <w:rFonts w:ascii="Times New Roman" w:hAnsi="Times New Roman" w:eastAsia="Times New Roman"/>
                <w:b w:val="0"/>
                <w:sz w:val="18"/>
              </w:rPr>
              <w:t>●</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r>
      <w:tr>
        <w:tc>
          <w:tcPr>
            <w:tcW w:type="dxa" w:w="5256"/>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b w:val="0"/>
                <w:sz w:val="18"/>
              </w:rPr>
              <w:t>Sprint 2: assignment and workflow</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B7DEE8"/>
          </w:tcPr>
          <w:p>
            <w:pPr>
              <w:spacing w:before="0" w:after="0" w:line="240" w:lineRule="auto"/>
              <w:jc w:val="center"/>
            </w:pPr>
            <w:r>
              <w:rPr>
                <w:rFonts w:ascii="Times New Roman" w:hAnsi="Times New Roman" w:eastAsia="Times New Roman"/>
                <w:b w:val="0"/>
                <w:sz w:val="18"/>
              </w:rPr>
              <w:t>●</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B7DEE8"/>
          </w:tcPr>
          <w:p>
            <w:pPr>
              <w:spacing w:before="0" w:after="0" w:line="240" w:lineRule="auto"/>
              <w:jc w:val="center"/>
            </w:pPr>
            <w:r>
              <w:rPr>
                <w:rFonts w:ascii="Times New Roman" w:hAnsi="Times New Roman" w:eastAsia="Times New Roman"/>
                <w:b w:val="0"/>
                <w:sz w:val="18"/>
              </w:rPr>
              <w:t>●</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B7DEE8"/>
          </w:tcPr>
          <w:p>
            <w:pPr>
              <w:spacing w:before="0" w:after="0" w:line="240" w:lineRule="auto"/>
              <w:jc w:val="center"/>
            </w:pPr>
            <w:r>
              <w:rPr>
                <w:rFonts w:ascii="Times New Roman" w:hAnsi="Times New Roman" w:eastAsia="Times New Roman"/>
                <w:b w:val="0"/>
                <w:sz w:val="18"/>
              </w:rPr>
              <w:t>●</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r>
      <w:tr>
        <w:tc>
          <w:tcPr>
            <w:tcW w:type="dxa" w:w="5256"/>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b w:val="0"/>
                <w:sz w:val="18"/>
              </w:rPr>
              <w:t>Sprint 3: QR lookup, audit, and history</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B7DEE8"/>
          </w:tcPr>
          <w:p>
            <w:pPr>
              <w:spacing w:before="0" w:after="0" w:line="240" w:lineRule="auto"/>
              <w:jc w:val="center"/>
            </w:pPr>
            <w:r>
              <w:rPr>
                <w:rFonts w:ascii="Times New Roman" w:hAnsi="Times New Roman" w:eastAsia="Times New Roman"/>
                <w:b w:val="0"/>
                <w:sz w:val="18"/>
              </w:rPr>
              <w:t>●</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B7DEE8"/>
          </w:tcPr>
          <w:p>
            <w:pPr>
              <w:spacing w:before="0" w:after="0" w:line="240" w:lineRule="auto"/>
              <w:jc w:val="center"/>
            </w:pPr>
            <w:r>
              <w:rPr>
                <w:rFonts w:ascii="Times New Roman" w:hAnsi="Times New Roman" w:eastAsia="Times New Roman"/>
                <w:b w:val="0"/>
                <w:sz w:val="18"/>
              </w:rPr>
              <w:t>●</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r>
      <w:tr>
        <w:tc>
          <w:tcPr>
            <w:tcW w:type="dxa" w:w="5256"/>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b w:val="0"/>
                <w:sz w:val="18"/>
              </w:rPr>
              <w:t>Integration testing and fixes</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B7DEE8"/>
          </w:tcPr>
          <w:p>
            <w:pPr>
              <w:spacing w:before="0" w:after="0" w:line="240" w:lineRule="auto"/>
              <w:jc w:val="center"/>
            </w:pPr>
            <w:r>
              <w:rPr>
                <w:rFonts w:ascii="Times New Roman" w:hAnsi="Times New Roman" w:eastAsia="Times New Roman"/>
                <w:b w:val="0"/>
                <w:sz w:val="18"/>
              </w:rPr>
              <w:t>●</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B7DEE8"/>
          </w:tcPr>
          <w:p>
            <w:pPr>
              <w:spacing w:before="0" w:after="0" w:line="240" w:lineRule="auto"/>
              <w:jc w:val="center"/>
            </w:pPr>
            <w:r>
              <w:rPr>
                <w:rFonts w:ascii="Times New Roman" w:hAnsi="Times New Roman" w:eastAsia="Times New Roman"/>
                <w:b w:val="0"/>
                <w:sz w:val="18"/>
              </w:rPr>
              <w:t>●</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r>
      <w:tr>
        <w:tc>
          <w:tcPr>
            <w:tcW w:type="dxa" w:w="5256"/>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b w:val="0"/>
                <w:sz w:val="18"/>
              </w:rPr>
              <w:t>Pilot with staff and sample repair jobs</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B7DEE8"/>
          </w:tcPr>
          <w:p>
            <w:pPr>
              <w:spacing w:before="0" w:after="0" w:line="240" w:lineRule="auto"/>
              <w:jc w:val="center"/>
            </w:pPr>
            <w:r>
              <w:rPr>
                <w:rFonts w:ascii="Times New Roman" w:hAnsi="Times New Roman" w:eastAsia="Times New Roman"/>
                <w:b w:val="0"/>
                <w:sz w:val="18"/>
              </w:rPr>
              <w:t>●</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B7DEE8"/>
          </w:tcPr>
          <w:p>
            <w:pPr>
              <w:spacing w:before="0" w:after="0" w:line="240" w:lineRule="auto"/>
              <w:jc w:val="center"/>
            </w:pPr>
            <w:r>
              <w:rPr>
                <w:rFonts w:ascii="Times New Roman" w:hAnsi="Times New Roman" w:eastAsia="Times New Roman"/>
                <w:b w:val="0"/>
                <w:sz w:val="18"/>
              </w:rPr>
              <w:t>●</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r>
      <w:tr>
        <w:tc>
          <w:tcPr>
            <w:tcW w:type="dxa" w:w="5256"/>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b w:val="0"/>
                <w:sz w:val="18"/>
              </w:rPr>
              <w:t>Evaluate success criteria</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B7DEE8"/>
          </w:tcPr>
          <w:p>
            <w:pPr>
              <w:spacing w:before="0" w:after="0" w:line="240" w:lineRule="auto"/>
              <w:jc w:val="center"/>
            </w:pPr>
            <w:r>
              <w:rPr>
                <w:rFonts w:ascii="Times New Roman" w:hAnsi="Times New Roman" w:eastAsia="Times New Roman"/>
                <w:b w:val="0"/>
                <w:sz w:val="18"/>
              </w:rPr>
              <w:t>●</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B7DEE8"/>
          </w:tcPr>
          <w:p>
            <w:pPr>
              <w:spacing w:before="0" w:after="0" w:line="240" w:lineRule="auto"/>
              <w:jc w:val="center"/>
            </w:pPr>
            <w:r>
              <w:rPr>
                <w:rFonts w:ascii="Times New Roman" w:hAnsi="Times New Roman" w:eastAsia="Times New Roman"/>
                <w:b w:val="0"/>
                <w:sz w:val="18"/>
              </w:rPr>
              <w:t>●</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r>
      <w:tr>
        <w:tc>
          <w:tcPr>
            <w:tcW w:type="dxa" w:w="5256"/>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b w:val="0"/>
                <w:sz w:val="18"/>
              </w:rPr>
              <w:t>Documentation and demo preparation</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B7DEE8"/>
          </w:tcPr>
          <w:p>
            <w:pPr>
              <w:spacing w:before="0" w:after="0" w:line="240" w:lineRule="auto"/>
              <w:jc w:val="center"/>
            </w:pPr>
            <w:r>
              <w:rPr>
                <w:rFonts w:ascii="Times New Roman" w:hAnsi="Times New Roman" w:eastAsia="Times New Roman"/>
                <w:b w:val="0"/>
                <w:sz w:val="18"/>
              </w:rPr>
              <w:t>●</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B7DEE8"/>
          </w:tcPr>
          <w:p>
            <w:pPr>
              <w:spacing w:before="0" w:after="0" w:line="240" w:lineRule="auto"/>
              <w:jc w:val="center"/>
            </w:pPr>
            <w:r>
              <w:rPr>
                <w:rFonts w:ascii="Times New Roman" w:hAnsi="Times New Roman" w:eastAsia="Times New Roman"/>
                <w:b w:val="0"/>
                <w:sz w:val="18"/>
              </w:rPr>
              <w:t>●</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r>
      <w:tr>
        <w:tc>
          <w:tcPr>
            <w:tcW w:type="dxa" w:w="5256"/>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pPr>
            <w:r>
              <w:rPr>
                <w:rFonts w:ascii="Times New Roman" w:hAnsi="Times New Roman" w:eastAsia="Times New Roman"/>
                <w:b w:val="0"/>
                <w:sz w:val="18"/>
              </w:rPr>
              <w:t>Contingency and submission</w:t>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tcPr>
          <w:p>
            <w:pPr>
              <w:spacing w:before="0" w:after="0" w:line="240" w:lineRule="auto"/>
              <w:jc w:val="center"/>
            </w:pPr>
            <w:r>
              <w:rPr>
                <w:rFonts w:ascii="Times New Roman" w:hAnsi="Times New Roman" w:eastAsia="Times New Roman"/>
                <w:b w:val="0"/>
                <w:sz w:val="18"/>
              </w:rPr>
            </w:r>
          </w:p>
        </w:tc>
        <w:tc>
          <w:tcPr>
            <w:tcW w:type="dxa" w:w="669"/>
            <w:tcMar>
              <w:top w:w="20" w:type="dxa"/>
              <w:start w:w="25" w:type="dxa"/>
              <w:bottom w:w="20" w:type="dxa"/>
              <w:end w:w="25" w:type="dxa"/>
            </w:tcMar>
            <w:vAlign w:val="center"/>
            <w:tcBorders>
              <w:top w:val="single" w:sz="4" w:color="7F7F7F"/>
              <w:left w:val="single" w:sz="4" w:color="7F7F7F"/>
              <w:bottom w:val="single" w:sz="4" w:color="7F7F7F"/>
              <w:right w:val="single" w:sz="4" w:color="7F7F7F"/>
            </w:tcBorders>
            <w:shd w:fill="B7DEE8"/>
          </w:tcPr>
          <w:p>
            <w:pPr>
              <w:spacing w:before="0" w:after="0" w:line="240" w:lineRule="auto"/>
              <w:jc w:val="center"/>
            </w:pPr>
            <w:r>
              <w:rPr>
                <w:rFonts w:ascii="Times New Roman" w:hAnsi="Times New Roman" w:eastAsia="Times New Roman"/>
                <w:b w:val="0"/>
                <w:sz w:val="18"/>
              </w:rPr>
              <w:t>●</w:t>
            </w:r>
          </w:p>
        </w:tc>
      </w:tr>
    </w:tbl>
    <w:p>
      <w:pPr>
        <w:spacing w:before="80" w:after="0" w:line="240" w:lineRule="auto"/>
      </w:pPr>
      <w:r>
        <w:rPr>
          <w:rFonts w:ascii="Times New Roman" w:hAnsi="Times New Roman" w:eastAsia="Times New Roman"/>
          <w:b/>
          <w:i w:val="0"/>
          <w:sz w:val="20"/>
        </w:rPr>
        <w:t xml:space="preserve">Project-control note: </w:t>
      </w:r>
      <w:r>
        <w:rPr>
          <w:rFonts w:ascii="Times New Roman" w:hAnsi="Times New Roman" w:eastAsia="Times New Roman"/>
          <w:b w:val="0"/>
          <w:i w:val="0"/>
          <w:sz w:val="20"/>
        </w:rPr>
        <w:t>Progress will be reviewed weekly. Scope changes will be logged and accepted only when they do not threaten the core prototype or submission deadline.</w:t>
      </w:r>
    </w:p>
    <w:sectPr w:rsidR="00FC693F" w:rsidRPr="0006063C" w:rsidSect="00034616">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RepairTrack Concept Paper</dc:title>
  <dc:subject>APT3065A Mid-Term Project Concept Paper</dc:subject>
  <dc:creator>Husain Zohair Kaka</dc:creator>
  <cp:keywords>RepairTrack, ICT repair, ticketing system, SME digitalization, APT3065A</cp:keywords>
  <dc:description>generated by python-docx</dc:description>
  <cp:lastModifiedBy/>
  <cp:revision>1</cp:revision>
  <dcterms:created xsi:type="dcterms:W3CDTF">2013-12-23T23:15:00Z</dcterms:created>
  <dcterms:modified xsi:type="dcterms:W3CDTF">2013-12-23T23:15:00Z</dcterms:modified>
  <cp:category/>
</cp:coreProperties>
</file>