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60"/>
        <w:jc w:val="center"/>
      </w:pPr>
      <w:r>
        <w:rPr>
          <w:rFonts w:ascii="Arial" w:cs="Arial" w:eastAsia="Arial" w:hAnsi="Arial"/>
          <w:b/>
          <w:bCs/>
          <w:color w:val="1a73e8"/>
          <w:sz w:val="20"/>
          <w:szCs w:val="20"/>
        </w:rPr>
        <w:t xml:space="preserve">TSIS 3 — CLOUD COMPUTING FOR BIG DATA</w:t>
      </w:r>
    </w:p>
    <w:p>
      <w:pPr>
        <w:spacing w:before="0" w:after="40"/>
        <w:jc w:val="center"/>
      </w:pPr>
      <w:r>
        <w:rPr>
          <w:rFonts w:ascii="Arial" w:cs="Arial" w:eastAsia="Arial" w:hAnsi="Arial"/>
          <w:b/>
          <w:bCs/>
          <w:color w:val="1a1a1a"/>
          <w:sz w:val="48"/>
          <w:szCs w:val="48"/>
        </w:rPr>
        <w:t xml:space="preserve">Cloud Pricing Strategy Document</w:t>
      </w:r>
    </w:p>
    <w:p>
      <w:pPr>
        <w:spacing w:before="0" w:after="60"/>
        <w:jc w:val="center"/>
      </w:pPr>
      <w:r>
        <w:rPr>
          <w:rFonts w:ascii="Arial" w:cs="Arial" w:eastAsia="Arial" w:hAnsi="Arial"/>
          <w:color w:val="555555"/>
          <w:sz w:val="26"/>
          <w:szCs w:val="26"/>
        </w:rPr>
        <w:t xml:space="preserve">AI-Powered Chatbot Application on Google Cloud Platform</w:t>
      </w:r>
    </w:p>
    <w:p>
      <w:pPr>
        <w:spacing w:before="80" w:after="80"/>
      </w:pPr>
      <w:r>
        <w:t xml:space="preserve"/>
      </w:r>
    </w:p>
    <w:tbl>
      <w:tblPr>
        <w:tblW w:type="dxa" w:w="5800"/>
        <w:jc w:val="center"/>
      </w:tblPr>
      <w:tblGrid>
        <w:gridCol w:w="2400"/>
        <w:gridCol w:w="3400"/>
      </w:tblGrid>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Document type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Phase 4 — Pricing Strategy</w:t>
            </w:r>
          </w:p>
        </w:tc>
      </w:tr>
      <w:tr>
        <w:tc>
          <w:tcPr>
            <w:tcW w:type="dxa" w:w="2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Based on</w:t>
            </w:r>
          </w:p>
        </w:tc>
        <w:tc>
          <w:tcPr>
            <w:tcW w:type="dxa" w:w="3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CFO Bot output (TSIS 3 SSOT v1.0)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Platform</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Google Cloud Platform + Firebase</w:t>
            </w:r>
          </w:p>
        </w:tc>
      </w:tr>
      <w:tr>
        <w:tc>
          <w:tcPr>
            <w:tcW w:type="dxa" w:w="2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Model coverage</w:t>
            </w:r>
          </w:p>
        </w:tc>
        <w:tc>
          <w:tcPr>
            <w:tcW w:type="dxa" w:w="34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Gemini 1.5 Flash &amp; Pro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Date</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March 2026</w:t>
            </w:r>
          </w:p>
        </w:tc>
      </w:tr>
    </w:tbl>
    <w:p>
      <w:pPr>
        <w:spacing w:before="80" w:after="80"/>
      </w:pPr>
      <w:r>
        <w:t xml:space="preserve"/>
      </w:r>
    </w:p>
    <w:p>
      <w:pPr>
        <w:spacing w:before="80" w:after="80"/>
      </w:pPr>
      <w:r>
        <w:t xml:space="preserve"/>
      </w:r>
    </w:p>
    <w:p>
      <w:r>
        <w:br w:type="page"/>
      </w:r>
    </w:p>
    <w:p>
      <w:pPr>
        <w:pStyle w:val="Heading1"/>
        <w:pBdr>
          <w:bottom w:val="single" w:color="1a73e8" w:sz="6" w:space="4"/>
        </w:pBdr>
        <w:spacing w:before="400" w:after="120"/>
      </w:pPr>
      <w:r>
        <w:rPr>
          <w:rFonts w:ascii="Arial" w:cs="Arial" w:eastAsia="Arial" w:hAnsi="Arial"/>
          <w:b/>
          <w:bCs/>
          <w:color w:val="1a73e8"/>
          <w:sz w:val="34"/>
          <w:szCs w:val="34"/>
        </w:rPr>
        <w:t xml:space="preserve">1. Executive Summary</w:t>
      </w:r>
    </w:p>
    <w:p>
      <w:pPr>
        <w:spacing w:before="60" w:after="100"/>
      </w:pPr>
      <w:r>
        <w:rPr>
          <w:rFonts w:ascii="Arial" w:cs="Arial" w:eastAsia="Arial" w:hAnsi="Arial"/>
          <w:color w:val="1a1a1a"/>
          <w:sz w:val="22"/>
          <w:szCs w:val="22"/>
        </w:rPr>
        <w:t xml:space="preserve">This document presents the cloud pricing strategy for an AI-powered chatbot application deployed on Google Cloud Platform (GCP). All cost figures are generated directly from the CFO Bot calculator, which applies the pricing formulas defined in the System Specification (SSOT v1.0).</w:t>
      </w:r>
    </w:p>
    <w:p>
      <w:pPr>
        <w:spacing w:before="60" w:after="100"/>
      </w:pPr>
      <w:r>
        <w:rPr>
          <w:rFonts w:ascii="Arial" w:cs="Arial" w:eastAsia="Arial" w:hAnsi="Arial"/>
          <w:color w:val="1a1a1a"/>
          <w:sz w:val="22"/>
          <w:szCs w:val="22"/>
        </w:rPr>
        <w:t xml:space="preserve">The analysis covers three growth stages — Startup, Growth, and Scale — and evaluates two AI model tiers: Gemini 1.5 Flash and Gemini 1.5 Pro. The core finding is that AI model selection is the single largest cost lever, accounting for over 85% of total monthly spend at every scale.</w:t>
      </w:r>
    </w:p>
    <w:p>
      <w:pPr>
        <w:spacing w:before="80" w:after="80"/>
      </w:pPr>
      <w:r>
        <w:t xml:space="preserve"/>
      </w:r>
    </w:p>
    <w:p>
      <w:pPr>
        <w:pBdr>
          <w:top w:val="single" w:color="1b5e20" w:sz="4"/>
          <w:bottom w:val="single" w:color="1b5e20" w:sz="4"/>
          <w:left w:val="single" w:color="1b5e20" w:sz="16"/>
          <w:right w:val="single" w:color="1b5e20" w:sz="4"/>
        </w:pBdr>
        <w:shd w:fill="e8f5e9" w:val="clear"/>
        <w:spacing w:before="120" w:after="120"/>
        <w:ind w:left="200" w:right="200"/>
      </w:pPr>
      <w:r>
        <w:rPr>
          <w:rFonts w:ascii="Arial" w:cs="Arial" w:eastAsia="Arial" w:hAnsi="Arial"/>
          <w:i/>
          <w:iCs/>
          <w:color w:val="1a1a1a"/>
          <w:sz w:val="22"/>
          <w:szCs w:val="22"/>
        </w:rPr>
        <w:t xml:space="preserve">Strategic recommendation: Begin with Gemini 1.5 Flash. At startup scale the total monthly infrastructure cost is $4.40 — of which 87% is the AI model itself. Upgrade to Pro only when user feedback demonstrates a measurable quality gap that directly impacts retention.</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1.1 Key Metrics at a Glance</w:t>
      </w:r>
    </w:p>
    <w:p>
      <w:pPr>
        <w:spacing w:before="80" w:after="80"/>
      </w:pPr>
      <w:r>
        <w:t xml:space="preserve"/>
      </w:r>
    </w:p>
    <w:tbl>
      <w:tblPr>
        <w:tblW w:type="dxa" w:w="9360"/>
      </w:tblPr>
      <w:tblGrid>
        <w:gridCol w:w="2600"/>
        <w:gridCol w:w="1690"/>
        <w:gridCol w:w="1690"/>
        <w:gridCol w:w="1690"/>
        <w:gridCol w:w="169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169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Startup (Flash)</w:t>
            </w:r>
          </w:p>
        </w:tc>
        <w:tc>
          <w:tcPr>
            <w:tcW w:type="dxa" w:w="169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Growth (Flash)</w:t>
            </w:r>
          </w:p>
        </w:tc>
        <w:tc>
          <w:tcPr>
            <w:tcW w:type="dxa" w:w="169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Scale (Flash)</w:t>
            </w:r>
          </w:p>
        </w:tc>
        <w:tc>
          <w:tcPr>
            <w:tcW w:type="dxa" w:w="169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Scale (Pro)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Monthly messages</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300,000</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3,000,000</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3,000,000</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Monthly active users</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50,000</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50,000</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Total monthly cost</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$4.40</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$52.27</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$555.81</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$14,873.31</w:t>
            </w:r>
          </w:p>
        </w:tc>
      </w:tr>
      <w:tr>
        <w:tc>
          <w:tcPr>
            <w:tcW w:type="dxa" w:w="26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Cost per user</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9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$0.30</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Cost per 1,000 messages</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$0.15</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$0.17</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$0.19</w:t>
            </w:r>
          </w:p>
        </w:tc>
        <w:tc>
          <w:tcPr>
            <w:tcW w:type="dxa" w:w="169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$4.96</w:t>
            </w:r>
          </w:p>
        </w:tc>
      </w:tr>
      <w:tr>
        <w:tc>
          <w:tcPr>
            <w:tcW w:type="dxa" w:w="26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AI cost as % of total</w:t>
            </w:r>
          </w:p>
        </w:tc>
        <w:tc>
          <w:tcPr>
            <w:tcW w:type="dxa" w:w="169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87%</w:t>
            </w:r>
          </w:p>
        </w:tc>
        <w:tc>
          <w:tcPr>
            <w:tcW w:type="dxa" w:w="169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73%</w:t>
            </w:r>
          </w:p>
        </w:tc>
        <w:tc>
          <w:tcPr>
            <w:tcW w:type="dxa" w:w="169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69%</w:t>
            </w:r>
          </w:p>
        </w:tc>
        <w:tc>
          <w:tcPr>
            <w:tcW w:type="dxa" w:w="169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99%</w:t>
            </w:r>
          </w:p>
        </w:tc>
      </w:tr>
    </w:tbl>
    <w:p>
      <w:pPr>
        <w:spacing w:before="80" w:after="80"/>
      </w:pPr>
      <w:r>
        <w:t xml:space="preserve"/>
      </w:r>
    </w:p>
    <w:p>
      <w:pPr>
        <w:pStyle w:val="Heading1"/>
        <w:pBdr>
          <w:bottom w:val="single" w:color="1a73e8" w:sz="6" w:space="4"/>
        </w:pBdr>
        <w:spacing w:before="400" w:after="120"/>
      </w:pPr>
      <w:r>
        <w:rPr>
          <w:rFonts w:ascii="Arial" w:cs="Arial" w:eastAsia="Arial" w:hAnsi="Arial"/>
          <w:b/>
          <w:bCs/>
          <w:color w:val="1a73e8"/>
          <w:sz w:val="34"/>
          <w:szCs w:val="34"/>
        </w:rPr>
        <w:t xml:space="preserve">2. Architecture Justification</w:t>
      </w:r>
    </w:p>
    <w:p>
      <w:pPr>
        <w:spacing w:before="60" w:after="100"/>
      </w:pPr>
      <w:r>
        <w:rPr>
          <w:rFonts w:ascii="Arial" w:cs="Arial" w:eastAsia="Arial" w:hAnsi="Arial"/>
          <w:color w:val="1a1a1a"/>
          <w:sz w:val="22"/>
          <w:szCs w:val="22"/>
        </w:rPr>
        <w:t xml:space="preserve">The CFO Bot calculates costs across four GCP services. Each service was selected based on specific architectural requirements defined in the SSOT. This section justifies each choice using both technical and economic reasoning.</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2.1 Gemini API — AI Model Layer</w:t>
      </w:r>
    </w:p>
    <w:p>
      <w:pPr>
        <w:spacing w:before="60" w:after="100"/>
      </w:pPr>
      <w:r>
        <w:rPr>
          <w:rFonts w:ascii="Arial" w:cs="Arial" w:eastAsia="Arial" w:hAnsi="Arial"/>
          <w:color w:val="1a1a1a"/>
          <w:sz w:val="22"/>
          <w:szCs w:val="22"/>
        </w:rPr>
        <w:t xml:space="preserve">The Gemini API provides the core intelligence of the chatbot. It is billed per token — separately for input (user messages + conversation history) and output (model responses). This is the dominant cost driver at every scale.</w:t>
      </w:r>
    </w:p>
    <w:p>
      <w:pPr>
        <w:spacing w:before="80" w:after="80"/>
      </w:pPr>
      <w:r>
        <w:t xml:space="preserve"/>
      </w:r>
    </w:p>
    <w:tbl>
      <w:tblPr>
        <w:tblW w:type="dxa" w:w="9360"/>
      </w:tblPr>
      <w:tblGrid>
        <w:gridCol w:w="3000"/>
        <w:gridCol w:w="2180"/>
        <w:gridCol w:w="2180"/>
        <w:gridCol w:w="200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Model</w:t>
            </w:r>
          </w:p>
        </w:tc>
        <w:tc>
          <w:tcPr>
            <w:tcW w:type="dxa" w:w="21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Input price</w:t>
            </w:r>
          </w:p>
        </w:tc>
        <w:tc>
          <w:tcPr>
            <w:tcW w:type="dxa" w:w="21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Output price</w:t>
            </w:r>
          </w:p>
        </w:tc>
        <w:tc>
          <w:tcPr>
            <w:tcW w:type="dxa" w:w="20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Gemini 1.5 Flash</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$0.075 / 1M tokens</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$0.30 / 1M tokens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High-volume, cost-sensitive</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Gemini 1.5 Pro</w:t>
            </w:r>
          </w:p>
        </w:tc>
        <w:tc>
          <w:tcPr>
            <w:tcW w:type="dxa" w:w="21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$3.50 / 1M tokens</w:t>
            </w:r>
          </w:p>
        </w:tc>
        <w:tc>
          <w:tcPr>
            <w:tcW w:type="dxa" w:w="21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$10.50 / 1M tokens</w:t>
            </w:r>
          </w:p>
        </w:tc>
        <w:tc>
          <w:tcPr>
            <w:tcW w:type="dxa" w:w="2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Complex reasoning, enterprise</w:t>
            </w:r>
          </w:p>
        </w:tc>
      </w:tr>
    </w:tbl>
    <w:p>
      <w:pPr>
        <w:spacing w:before="80" w:after="80"/>
      </w:pPr>
      <w:r>
        <w:t xml:space="preserve"/>
      </w:r>
    </w:p>
    <w:p>
      <w:pPr>
        <w:pBdr>
          <w:top w:val="single" w:color="e65100" w:sz="4"/>
          <w:bottom w:val="single" w:color="e65100" w:sz="4"/>
          <w:left w:val="single" w:color="e65100" w:sz="16"/>
          <w:right w:val="single" w:color="e65100" w:sz="4"/>
        </w:pBdr>
        <w:shd w:fill="fff3e0" w:val="clear"/>
        <w:spacing w:before="120" w:after="120"/>
        <w:ind w:left="200" w:right="200"/>
      </w:pPr>
      <w:r>
        <w:rPr>
          <w:rFonts w:ascii="Arial" w:cs="Arial" w:eastAsia="Arial" w:hAnsi="Arial"/>
          <w:i/>
          <w:iCs/>
          <w:color w:val="1a1a1a"/>
          <w:sz w:val="22"/>
          <w:szCs w:val="22"/>
        </w:rPr>
        <w:t xml:space="preserve">The price ratio between Pro and Flash is 46.7× on input tokens and 35× on output tokens. At 1,000 messages/day, switching from Flash ($3.82/month) to Pro ($147/month) increases the AI bill by $143 while serving the same number of users. This upgrade is only economically justified if it produces measurably higher user retention.</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2.2 Cloud Run — Compute Layer</w:t>
      </w:r>
    </w:p>
    <w:p>
      <w:pPr>
        <w:spacing w:before="60" w:after="100"/>
      </w:pPr>
      <w:r>
        <w:rPr>
          <w:rFonts w:ascii="Arial" w:cs="Arial" w:eastAsia="Arial" w:hAnsi="Arial"/>
          <w:color w:val="1a1a1a"/>
          <w:sz w:val="22"/>
          <w:szCs w:val="22"/>
        </w:rPr>
        <w:t xml:space="preserve">Cloud Run hosts the backend API that receives user messages and routes them to the Gemini API. It is serverless — it scales to zero when idle and scales up automatically under load. This eliminates the fixed cost of always-on VMs.</w:t>
      </w:r>
    </w:p>
    <w:p>
      <w:pPr>
        <w:pStyle w:val="ListParagraph"/>
        <w:numPr>
          <w:ilvl w:val="0"/>
          <w:numId w:val="2"/>
        </w:numPr>
        <w:spacing w:before="40" w:after="40"/>
      </w:pPr>
      <w:r>
        <w:rPr>
          <w:rFonts w:ascii="Arial" w:cs="Arial" w:eastAsia="Arial" w:hAnsi="Arial"/>
          <w:color w:val="1a1a1a"/>
          <w:sz w:val="22"/>
          <w:szCs w:val="22"/>
        </w:rPr>
        <w:t xml:space="preserve">Billing model: per request + per vCPU-second + per GiB-second of memory</w:t>
      </w:r>
    </w:p>
    <w:p>
      <w:pPr>
        <w:pStyle w:val="ListParagraph"/>
        <w:numPr>
          <w:ilvl w:val="0"/>
          <w:numId w:val="2"/>
        </w:numPr>
        <w:spacing w:before="40" w:after="40"/>
      </w:pPr>
      <w:r>
        <w:rPr>
          <w:rFonts w:ascii="Arial" w:cs="Arial" w:eastAsia="Arial" w:hAnsi="Arial"/>
          <w:color w:val="1a1a1a"/>
          <w:sz w:val="22"/>
          <w:szCs w:val="22"/>
        </w:rPr>
        <w:t xml:space="preserve">Free tier: 2,000,000 requests/month + 180,000 vCPU-seconds + 360,000 GiB-seconds</w:t>
      </w:r>
    </w:p>
    <w:p>
      <w:pPr>
        <w:pStyle w:val="ListParagraph"/>
        <w:numPr>
          <w:ilvl w:val="0"/>
          <w:numId w:val="2"/>
        </w:numPr>
        <w:spacing w:before="40" w:after="40"/>
      </w:pPr>
      <w:r>
        <w:rPr>
          <w:rFonts w:ascii="Arial" w:cs="Arial" w:eastAsia="Arial" w:hAnsi="Arial"/>
          <w:color w:val="1a1a1a"/>
          <w:sz w:val="22"/>
          <w:szCs w:val="22"/>
        </w:rPr>
        <w:t xml:space="preserve">At startup scale (30,000 req/month): $0.00 — entirely within free tier</w:t>
      </w:r>
    </w:p>
    <w:p>
      <w:pPr>
        <w:pStyle w:val="ListParagraph"/>
        <w:numPr>
          <w:ilvl w:val="0"/>
          <w:numId w:val="2"/>
        </w:numPr>
        <w:spacing w:before="40" w:after="40"/>
      </w:pPr>
      <w:r>
        <w:rPr>
          <w:rFonts w:ascii="Arial" w:cs="Arial" w:eastAsia="Arial" w:hAnsi="Arial"/>
          <w:color w:val="1a1a1a"/>
          <w:sz w:val="22"/>
          <w:szCs w:val="22"/>
        </w:rPr>
        <w:t xml:space="preserve">At scale (3,000,000 req/month): $146.68 — still only 26% of total cost</w:t>
      </w:r>
    </w:p>
    <w:p>
      <w:pPr>
        <w:spacing w:before="80" w:after="80"/>
      </w:pPr>
      <w:r>
        <w:t xml:space="preserve"/>
      </w:r>
    </w:p>
    <w:p>
      <w:pPr>
        <w:pBdr>
          <w:top w:val="single" w:color="1b5e20" w:sz="4"/>
          <w:bottom w:val="single" w:color="1b5e20" w:sz="4"/>
          <w:left w:val="single" w:color="1b5e20" w:sz="16"/>
          <w:right w:val="single" w:color="1b5e20" w:sz="4"/>
        </w:pBdr>
        <w:shd w:fill="e8f5e9" w:val="clear"/>
        <w:spacing w:before="120" w:after="120"/>
        <w:ind w:left="200" w:right="200"/>
      </w:pPr>
      <w:r>
        <w:rPr>
          <w:rFonts w:ascii="Arial" w:cs="Arial" w:eastAsia="Arial" w:hAnsi="Arial"/>
          <w:i/>
          <w:iCs/>
          <w:color w:val="1a1a1a"/>
          <w:sz w:val="22"/>
          <w:szCs w:val="22"/>
        </w:rPr>
        <w:t xml:space="preserve">Architectural insight: Cloud Run's free tier covers the entire compute cost up to ~66,000 messages/day. A startup can run its entire backend for free until it reaches meaningful scale. This makes Cloud Run the correct architectural choice over a VM (which incurs fixed costs from day one) or Kubernetes (which adds operational complexity without cost benefit at this scale).</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2.3 Cloud Firestore — Database Layer</w:t>
      </w:r>
    </w:p>
    <w:p>
      <w:pPr>
        <w:spacing w:before="60" w:after="100"/>
      </w:pPr>
      <w:r>
        <w:rPr>
          <w:rFonts w:ascii="Arial" w:cs="Arial" w:eastAsia="Arial" w:hAnsi="Arial"/>
          <w:color w:val="1a1a1a"/>
          <w:sz w:val="22"/>
          <w:szCs w:val="22"/>
        </w:rPr>
        <w:t xml:space="preserve">Firestore stores chat session history, user profiles, and conversation context. It is a serverless NoSQL document database billed per read, write, and stored GiB.</w:t>
      </w:r>
    </w:p>
    <w:p>
      <w:pPr>
        <w:pStyle w:val="ListParagraph"/>
        <w:numPr>
          <w:ilvl w:val="0"/>
          <w:numId w:val="2"/>
        </w:numPr>
        <w:spacing w:before="40" w:after="40"/>
      </w:pPr>
      <w:r>
        <w:rPr>
          <w:rFonts w:ascii="Arial" w:cs="Arial" w:eastAsia="Arial" w:hAnsi="Arial"/>
          <w:color w:val="1a1a1a"/>
          <w:sz w:val="22"/>
          <w:szCs w:val="22"/>
        </w:rPr>
        <w:t xml:space="preserve">Free tier: 50,000 reads/day + 20,000 writes/day + 1 GiB storage</w:t>
      </w:r>
    </w:p>
    <w:p>
      <w:pPr>
        <w:pStyle w:val="ListParagraph"/>
        <w:numPr>
          <w:ilvl w:val="0"/>
          <w:numId w:val="2"/>
        </w:numPr>
        <w:spacing w:before="40" w:after="40"/>
      </w:pPr>
      <w:r>
        <w:rPr>
          <w:rFonts w:ascii="Arial" w:cs="Arial" w:eastAsia="Arial" w:hAnsi="Arial"/>
          <w:color w:val="1a1a1a"/>
          <w:sz w:val="22"/>
          <w:szCs w:val="22"/>
        </w:rPr>
        <w:t xml:space="preserve">At startup scale (1,000 msg/day → 2,000 reads/day): $0.00 — well within free tier</w:t>
      </w:r>
    </w:p>
    <w:p>
      <w:pPr>
        <w:pStyle w:val="ListParagraph"/>
        <w:numPr>
          <w:ilvl w:val="0"/>
          <w:numId w:val="2"/>
        </w:numPr>
        <w:spacing w:before="40" w:after="40"/>
      </w:pPr>
      <w:r>
        <w:rPr>
          <w:rFonts w:ascii="Arial" w:cs="Arial" w:eastAsia="Arial" w:hAnsi="Arial"/>
          <w:color w:val="1a1a1a"/>
          <w:sz w:val="22"/>
          <w:szCs w:val="22"/>
        </w:rPr>
        <w:t xml:space="preserve">At growth scale (10,000 msg/day → 20,000 reads/day): $0.72 — only storage cost</w:t>
      </w:r>
    </w:p>
    <w:p>
      <w:pPr>
        <w:pStyle w:val="ListParagraph"/>
        <w:numPr>
          <w:ilvl w:val="0"/>
          <w:numId w:val="2"/>
        </w:numPr>
        <w:spacing w:before="40" w:after="40"/>
      </w:pPr>
      <w:r>
        <w:rPr>
          <w:rFonts w:ascii="Arial" w:cs="Arial" w:eastAsia="Arial" w:hAnsi="Arial"/>
          <w:color w:val="1a1a1a"/>
          <w:sz w:val="22"/>
          <w:szCs w:val="22"/>
        </w:rPr>
        <w:t xml:space="preserve">At scale (100,000 msg/day → 200,000 reads/day): $10.44 — reads dominate</w:t>
      </w:r>
    </w:p>
    <w:p>
      <w:pPr>
        <w:spacing w:before="80" w:after="80"/>
      </w:pPr>
      <w:r>
        <w:t xml:space="preserve"/>
      </w:r>
    </w:p>
    <w:p>
      <w:pPr>
        <w:pBdr>
          <w:top w:val="single" w:color="1a73e8" w:sz="4"/>
          <w:bottom w:val="single" w:color="1a73e8" w:sz="4"/>
          <w:left w:val="single" w:color="1a73e8" w:sz="16"/>
          <w:right w:val="single" w:color="1a73e8" w:sz="4"/>
        </w:pBdr>
        <w:shd w:fill="f8f9fa" w:val="clear"/>
        <w:spacing w:before="120" w:after="120"/>
        <w:ind w:left="200" w:right="200"/>
      </w:pPr>
      <w:r>
        <w:rPr>
          <w:rFonts w:ascii="Arial" w:cs="Arial" w:eastAsia="Arial" w:hAnsi="Arial"/>
          <w:i/>
          <w:iCs/>
          <w:color w:val="1a1a1a"/>
          <w:sz w:val="22"/>
          <w:szCs w:val="22"/>
        </w:rPr>
        <w:t xml:space="preserve">Firestore was chosen over Cloud SQL because the chatbot data model is document-oriented (each conversation is a self-contained JSON object) and does not require relational joins. Firestore's per-operation pricing is more cost-efficient than Cloud SQL's always-on instance pricing for workloads below 1 million operations/day.</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2.4 Cloud Storage — File Storage Layer</w:t>
      </w:r>
    </w:p>
    <w:p>
      <w:pPr>
        <w:spacing w:before="60" w:after="100"/>
      </w:pPr>
      <w:r>
        <w:rPr>
          <w:rFonts w:ascii="Arial" w:cs="Arial" w:eastAsia="Arial" w:hAnsi="Arial"/>
          <w:color w:val="1a1a1a"/>
          <w:sz w:val="22"/>
          <w:szCs w:val="22"/>
        </w:rPr>
        <w:t xml:space="preserve">Cloud Storage holds user-uploaded files and attachments exchanged through the chatbot interface (images, PDFs, documents). It is billed per GiB stored, per GiB of outbound data (egress), and per storage operation.</w:t>
      </w:r>
    </w:p>
    <w:p>
      <w:pPr>
        <w:pStyle w:val="ListParagraph"/>
        <w:numPr>
          <w:ilvl w:val="0"/>
          <w:numId w:val="2"/>
        </w:numPr>
        <w:spacing w:before="40" w:after="40"/>
      </w:pPr>
      <w:r>
        <w:rPr>
          <w:rFonts w:ascii="Arial" w:cs="Arial" w:eastAsia="Arial" w:hAnsi="Arial"/>
          <w:color w:val="1a1a1a"/>
          <w:sz w:val="22"/>
          <w:szCs w:val="22"/>
        </w:rPr>
        <w:t xml:space="preserve">Free tier: 5 GiB storage + 1 GiB egress + 5,000 Class A operations/month</w:t>
      </w:r>
    </w:p>
    <w:p>
      <w:pPr>
        <w:pStyle w:val="ListParagraph"/>
        <w:numPr>
          <w:ilvl w:val="0"/>
          <w:numId w:val="2"/>
        </w:numPr>
        <w:spacing w:before="40" w:after="40"/>
      </w:pPr>
      <w:r>
        <w:rPr>
          <w:rFonts w:ascii="Arial" w:cs="Arial" w:eastAsia="Arial" w:hAnsi="Arial"/>
          <w:color w:val="1a1a1a"/>
          <w:sz w:val="22"/>
          <w:szCs w:val="22"/>
        </w:rPr>
        <w:t xml:space="preserve">At startup scale (10 GiB stored, 5 GiB egress): $0.58/month</w:t>
      </w:r>
    </w:p>
    <w:p>
      <w:pPr>
        <w:pStyle w:val="ListParagraph"/>
        <w:numPr>
          <w:ilvl w:val="0"/>
          <w:numId w:val="2"/>
        </w:numPr>
        <w:spacing w:before="40" w:after="40"/>
      </w:pPr>
      <w:r>
        <w:rPr>
          <w:rFonts w:ascii="Arial" w:cs="Arial" w:eastAsia="Arial" w:hAnsi="Arial"/>
          <w:color w:val="1a1a1a"/>
          <w:sz w:val="22"/>
          <w:szCs w:val="22"/>
        </w:rPr>
        <w:t xml:space="preserve">Egress is the fastest-growing cost as user attachment volume increases</w:t>
      </w:r>
    </w:p>
    <w:p>
      <w:pPr>
        <w:spacing w:before="80" w:after="80"/>
      </w:pPr>
      <w:r>
        <w:t xml:space="preserve"/>
      </w:r>
    </w:p>
    <w:p>
      <w:pPr>
        <w:pStyle w:val="Heading1"/>
        <w:pBdr>
          <w:bottom w:val="single" w:color="1a73e8" w:sz="6" w:space="4"/>
        </w:pBdr>
        <w:spacing w:before="400" w:after="120"/>
      </w:pPr>
      <w:r>
        <w:rPr>
          <w:rFonts w:ascii="Arial" w:cs="Arial" w:eastAsia="Arial" w:hAnsi="Arial"/>
          <w:b/>
          <w:bCs/>
          <w:color w:val="1a73e8"/>
          <w:sz w:val="34"/>
          <w:szCs w:val="34"/>
        </w:rPr>
        <w:t xml:space="preserve">3. Cost Scenarios &amp; Growth Projections</w:t>
      </w:r>
    </w:p>
    <w:p>
      <w:pPr>
        <w:spacing w:before="60" w:after="100"/>
      </w:pPr>
      <w:r>
        <w:rPr>
          <w:rFonts w:ascii="Arial" w:cs="Arial" w:eastAsia="Arial" w:hAnsi="Arial"/>
          <w:color w:val="1a1a1a"/>
          <w:sz w:val="22"/>
          <w:szCs w:val="22"/>
        </w:rPr>
        <w:t xml:space="preserve">The following three scenarios model the application's cost trajectory from initial launch through enterprise scale. All figures are produced directly by the CFO Bot calculator using the formulas defined in SSOT Section 4.</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3.1 Scenario A — Startup (0–6 months)</w:t>
      </w:r>
    </w:p>
    <w:tbl>
      <w:tblPr>
        <w:tblW w:type="dxa" w:w="9360"/>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Monthly cost</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 of total</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Gemini 1.5 Flash</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$3.82</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87%</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 tokens in + 9,000 out</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Run</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$0.00</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Within 2M free requests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Firestore</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$0.00</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Within daily free ops</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Storage</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$0.58</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13%</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 GiB billable storage</w:t>
            </w:r>
          </w:p>
        </w:tc>
      </w:tr>
      <w:tr>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TOTAL</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$4.40</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100%</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500 MAU → $0.01/user</w:t>
            </w:r>
          </w:p>
        </w:tc>
      </w:tr>
    </w:tbl>
    <w:p>
      <w:pPr>
        <w:spacing w:before="80" w:after="80"/>
      </w:pPr>
      <w:r>
        <w:t xml:space="preserve"/>
      </w:r>
    </w:p>
    <w:p>
      <w:pPr>
        <w:pBdr>
          <w:left w:val="single" w:color="1a73e8" w:sz="16" w:space="8"/>
        </w:pBdr>
        <w:shd w:fill="f8f9fa" w:val="clear"/>
        <w:spacing w:before="120" w:after="120"/>
        <w:ind w:left="200" w:right="200"/>
      </w:pPr>
      <w:r>
        <w:rPr>
          <w:rFonts w:ascii="Arial" w:cs="Arial" w:eastAsia="Arial" w:hAnsi="Arial"/>
          <w:b/>
          <w:bCs/>
          <w:color w:val="1a73e8"/>
          <w:sz w:val="22"/>
          <w:szCs w:val="22"/>
        </w:rPr>
        <w:t xml:space="preserve">Insight: </w:t>
      </w:r>
      <w:r>
        <w:rPr>
          <w:rFonts w:ascii="Arial" w:cs="Arial" w:eastAsia="Arial" w:hAnsi="Arial"/>
          <w:color w:val="1a1a1a"/>
          <w:sz w:val="22"/>
          <w:szCs w:val="22"/>
        </w:rPr>
        <w:t xml:space="preserve">At startup scale, GCP's free tiers absorb 87% of infrastructure costs. The entire backend runs free. Only the AI model and a small storage bill are payable.</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3.2 Scenario B — Growth (6–18 months)</w:t>
      </w:r>
    </w:p>
    <w:tbl>
      <w:tblPr>
        <w:tblW w:type="dxa" w:w="9360"/>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Monthly cost</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 of total</w:t>
            </w:r>
          </w:p>
        </w:tc>
        <w:tc>
          <w:tcPr>
            <w:tcW w:type="dxa" w:w="212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Gemini 1.5 Flash</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$38.25</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73%</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300,000 monthly messages</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Run</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$10.08</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19%</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Exceeds free CPU seconds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Firestore</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$0.72</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Storage exceeds 1 GiB free</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Storage</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$3.22</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6%</w:t>
            </w:r>
          </w:p>
        </w:tc>
        <w:tc>
          <w:tcPr>
            <w:tcW w:type="dxa" w:w="212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 GiB stored, 20 GiB egress</w:t>
            </w:r>
          </w:p>
        </w:tc>
      </w:tr>
      <w:tr>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TOTAL</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$52.27</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100%</w:t>
            </w:r>
          </w:p>
        </w:tc>
        <w:tc>
          <w:tcPr>
            <w:tcW w:type="dxa" w:w="212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5,000 MAU → $0.01/user</w:t>
            </w:r>
          </w:p>
        </w:tc>
      </w:tr>
    </w:tbl>
    <w:p>
      <w:pPr>
        <w:spacing w:before="80" w:after="80"/>
      </w:pPr>
      <w:r>
        <w:t xml:space="preserve"/>
      </w:r>
    </w:p>
    <w:p>
      <w:pPr>
        <w:pBdr>
          <w:left w:val="single" w:color="1a73e8" w:sz="16" w:space="8"/>
        </w:pBdr>
        <w:shd w:fill="f8f9fa" w:val="clear"/>
        <w:spacing w:before="120" w:after="120"/>
        <w:ind w:left="200" w:right="200"/>
      </w:pPr>
      <w:r>
        <w:rPr>
          <w:rFonts w:ascii="Arial" w:cs="Arial" w:eastAsia="Arial" w:hAnsi="Arial"/>
          <w:b/>
          <w:bCs/>
          <w:color w:val="1a73e8"/>
          <w:sz w:val="22"/>
          <w:szCs w:val="22"/>
        </w:rPr>
        <w:t xml:space="preserve">Insight: </w:t>
      </w:r>
      <w:r>
        <w:rPr>
          <w:rFonts w:ascii="Arial" w:cs="Arial" w:eastAsia="Arial" w:hAnsi="Arial"/>
          <w:color w:val="1a1a1a"/>
          <w:sz w:val="22"/>
          <w:szCs w:val="22"/>
        </w:rPr>
        <w:t xml:space="preserve">10× growth in users increases the monthly bill by only 11.9×. Cost per user stays flat at $0.01 — the application scales efficiently. Cloud Run begins incurring real costs as CPU usage exceeds the free tier.</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3.3 Scenario C — Scale (18+ months)</w:t>
      </w:r>
    </w:p>
    <w:tbl>
      <w:tblPr>
        <w:tblW w:type="dxa" w:w="9360"/>
      </w:tblPr>
      <w:tblGrid>
        <w:gridCol w:w="2200"/>
        <w:gridCol w:w="1640"/>
        <w:gridCol w:w="1640"/>
        <w:gridCol w:w="1640"/>
        <w:gridCol w:w="224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Flash cost</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Pro cost</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Difference</w:t>
            </w:r>
          </w:p>
        </w:tc>
        <w:tc>
          <w:tcPr>
            <w:tcW w:type="dxa" w:w="22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Cost driver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Gemini API</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$382.50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$14,700.00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+$14,317.50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Token volume × price tier</w:t>
            </w:r>
          </w:p>
        </w:tc>
      </w:tr>
      <w:tr>
        <w:tc>
          <w:tcPr>
            <w:tcW w:type="dxa" w:w="22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Run</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$146.68</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$146.68</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$0.00</w:t>
            </w:r>
          </w:p>
        </w:tc>
        <w:tc>
          <w:tcPr>
            <w:tcW w:type="dxa" w:w="22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Identical — model-agnostic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Firestore</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$10.44</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$10.44</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$0.00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Identical — model-agnostic</w:t>
            </w:r>
          </w:p>
        </w:tc>
      </w:tr>
      <w:tr>
        <w:tc>
          <w:tcPr>
            <w:tcW w:type="dxa" w:w="22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Storage</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$16.18</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$16.18</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$0.00</w:t>
            </w:r>
          </w:p>
        </w:tc>
        <w:tc>
          <w:tcPr>
            <w:tcW w:type="dxa" w:w="22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Identical — model-agnostic</w:t>
            </w:r>
          </w:p>
        </w:tc>
      </w:tr>
      <w:tr>
        <w:tc>
          <w:tcPr>
            <w:tcW w:type="dxa" w:w="2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TOTAL</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$555.81</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$14,873.31</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+$14,317.50</w:t>
            </w:r>
          </w:p>
        </w:tc>
        <w:tc>
          <w:tcPr>
            <w:tcW w:type="dxa" w:w="22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26.8× more expensive</w:t>
            </w:r>
          </w:p>
        </w:tc>
      </w:tr>
      <w:tr>
        <w:tc>
          <w:tcPr>
            <w:tcW w:type="dxa" w:w="2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Per user</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$0.01</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$0.30</w:t>
            </w:r>
          </w:p>
        </w:tc>
        <w:tc>
          <w:tcPr>
            <w:tcW w:type="dxa" w:w="16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+$0.29</w:t>
            </w:r>
          </w:p>
        </w:tc>
        <w:tc>
          <w:tcPr>
            <w:tcW w:type="dxa" w:w="224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50,000 MAU</w:t>
            </w:r>
          </w:p>
        </w:tc>
      </w:tr>
    </w:tbl>
    <w:p>
      <w:pPr>
        <w:spacing w:before="80" w:after="80"/>
      </w:pPr>
      <w:r>
        <w:t xml:space="preserve"/>
      </w:r>
    </w:p>
    <w:p>
      <w:pPr>
        <w:pBdr>
          <w:top w:val="single" w:color="b71c1c" w:sz="4"/>
          <w:bottom w:val="single" w:color="b71c1c" w:sz="4"/>
          <w:left w:val="single" w:color="b71c1c" w:sz="16"/>
          <w:right w:val="single" w:color="b71c1c" w:sz="4"/>
        </w:pBdr>
        <w:shd w:fill="ffebee" w:val="clear"/>
        <w:spacing w:before="120" w:after="120"/>
        <w:ind w:left="200" w:right="200"/>
      </w:pPr>
      <w:r>
        <w:rPr>
          <w:rFonts w:ascii="Arial" w:cs="Arial" w:eastAsia="Arial" w:hAnsi="Arial"/>
          <w:i/>
          <w:iCs/>
          <w:color w:val="1a1a1a"/>
          <w:sz w:val="22"/>
          <w:szCs w:val="22"/>
        </w:rPr>
        <w:t xml:space="preserve">Critical finding: At scale, Cloud Run, Firestore, and Cloud Storage costs are identical regardless of model choice — they respond to message volume, not model tier. The entire $14,317 difference between Flash and Pro comes solely from Gemini API pricing. Infrastructure is not the bottleneck — the AI model is.</w:t>
      </w:r>
    </w:p>
    <w:p>
      <w:pPr>
        <w:spacing w:before="80" w:after="80"/>
      </w:pPr>
      <w:r>
        <w:t xml:space="preserve"/>
      </w:r>
    </w:p>
    <w:p>
      <w:pPr>
        <w:pStyle w:val="Heading1"/>
        <w:pBdr>
          <w:bottom w:val="single" w:color="1a73e8" w:sz="6" w:space="4"/>
        </w:pBdr>
        <w:spacing w:before="400" w:after="120"/>
      </w:pPr>
      <w:r>
        <w:rPr>
          <w:rFonts w:ascii="Arial" w:cs="Arial" w:eastAsia="Arial" w:hAnsi="Arial"/>
          <w:b/>
          <w:bCs/>
          <w:color w:val="1a73e8"/>
          <w:sz w:val="34"/>
          <w:szCs w:val="34"/>
        </w:rPr>
        <w:t xml:space="preserve">4. Unit Economics Analysis</w:t>
      </w:r>
    </w:p>
    <w:p>
      <w:pPr>
        <w:spacing w:before="60" w:after="100"/>
      </w:pPr>
      <w:r>
        <w:rPr>
          <w:rFonts w:ascii="Arial" w:cs="Arial" w:eastAsia="Arial" w:hAnsi="Arial"/>
          <w:color w:val="1a1a1a"/>
          <w:sz w:val="22"/>
          <w:szCs w:val="22"/>
        </w:rPr>
        <w:t xml:space="preserve">Unit economics translate total infrastructure costs into per-user and per-transaction metrics. These figures are essential for determining product pricing, gross margin, and break-even analysis.</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4.1 Cost per User</w:t>
      </w:r>
    </w:p>
    <w:tbl>
      <w:tblPr>
        <w:tblW w:type="dxa" w:w="9360"/>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MAU</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Total cost</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Cost/user</w:t>
            </w:r>
          </w:p>
        </w:tc>
        <w:tc>
          <w:tcPr>
            <w:tcW w:type="dxa" w:w="164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Gross margin at $5/user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Startup — Flash</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$4.40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99.8%</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Growth — Flash</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$52.27</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99.8%</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Scale — Flash</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50,000</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$555.81</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$0.01</w:t>
            </w:r>
          </w:p>
        </w:tc>
        <w:tc>
          <w:tcPr>
            <w:tcW w:type="dxa" w:w="1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99.8%</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Scale — Pro</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50,000</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$14,873.31</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$0.30</w:t>
            </w:r>
          </w:p>
        </w:tc>
        <w:tc>
          <w:tcPr>
            <w:tcW w:type="dxa" w:w="164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94.1%</w:t>
            </w:r>
          </w:p>
        </w:tc>
      </w:tr>
    </w:tbl>
    <w:p>
      <w:pPr>
        <w:spacing w:before="80" w:after="80"/>
      </w:pPr>
      <w:r>
        <w:t xml:space="preserve"/>
      </w:r>
    </w:p>
    <w:p>
      <w:pPr>
        <w:pBdr>
          <w:top w:val="single" w:color="1b5e20" w:sz="4"/>
          <w:bottom w:val="single" w:color="1b5e20" w:sz="4"/>
          <w:left w:val="single" w:color="1b5e20" w:sz="16"/>
          <w:right w:val="single" w:color="1b5e20" w:sz="4"/>
        </w:pBdr>
        <w:shd w:fill="e8f5e9" w:val="clear"/>
        <w:spacing w:before="120" w:after="120"/>
        <w:ind w:left="200" w:right="200"/>
      </w:pPr>
      <w:r>
        <w:rPr>
          <w:rFonts w:ascii="Arial" w:cs="Arial" w:eastAsia="Arial" w:hAnsi="Arial"/>
          <w:i/>
          <w:iCs/>
          <w:color w:val="1a1a1a"/>
          <w:sz w:val="22"/>
          <w:szCs w:val="22"/>
        </w:rPr>
        <w:t xml:space="preserve">With Gemini Flash, cost per user remains flat at $0.01 across all growth stages. This is an exceptional unit economic profile — the application scales without margin compression. Even with Pro at $0.30/user, a $5/month subscription yields 94% gross margin, which remains commercially viable.</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4.2 Cost per 1,000 Messages</w:t>
      </w:r>
    </w:p>
    <w:tbl>
      <w:tblPr>
        <w:tblW w:type="dxa" w:w="9360"/>
      </w:tblPr>
      <w:tblGrid>
        <w:gridCol w:w="2800"/>
        <w:gridCol w:w="2180"/>
        <w:gridCol w:w="2180"/>
        <w:gridCol w:w="220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21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Flash ($/1k msg)</w:t>
            </w:r>
          </w:p>
        </w:tc>
        <w:tc>
          <w:tcPr>
            <w:tcW w:type="dxa" w:w="21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Pro ($/1k msg)</w:t>
            </w:r>
          </w:p>
        </w:tc>
        <w:tc>
          <w:tcPr>
            <w:tcW w:type="dxa" w:w="22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Pro premium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Startup</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$0.15</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$4.90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32.7×</w:t>
            </w:r>
          </w:p>
        </w:tc>
      </w:tr>
      <w:tr>
        <w:tc>
          <w:tcPr>
            <w:tcW w:type="dxa" w:w="28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Growth</w:t>
            </w:r>
          </w:p>
        </w:tc>
        <w:tc>
          <w:tcPr>
            <w:tcW w:type="dxa" w:w="21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$0.17</w:t>
            </w:r>
          </w:p>
        </w:tc>
        <w:tc>
          <w:tcPr>
            <w:tcW w:type="dxa" w:w="21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$4.91</w:t>
            </w:r>
          </w:p>
        </w:tc>
        <w:tc>
          <w:tcPr>
            <w:tcW w:type="dxa" w:w="22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28.9×</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Scale</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$0.19</w:t>
            </w:r>
          </w:p>
        </w:tc>
        <w:tc>
          <w:tcPr>
            <w:tcW w:type="dxa" w:w="21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$4.96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26.1×</w:t>
            </w:r>
          </w:p>
        </w:tc>
      </w:tr>
    </w:tbl>
    <w:p>
      <w:pPr>
        <w:spacing w:before="80" w:after="80"/>
      </w:pPr>
      <w:r>
        <w:t xml:space="preserve"/>
      </w:r>
    </w:p>
    <w:p>
      <w:pPr>
        <w:pStyle w:val="Heading1"/>
        <w:pBdr>
          <w:bottom w:val="single" w:color="1a73e8" w:sz="6" w:space="4"/>
        </w:pBdr>
        <w:spacing w:before="400" w:after="120"/>
      </w:pPr>
      <w:r>
        <w:rPr>
          <w:rFonts w:ascii="Arial" w:cs="Arial" w:eastAsia="Arial" w:hAnsi="Arial"/>
          <w:b/>
          <w:bCs/>
          <w:color w:val="1a73e8"/>
          <w:sz w:val="34"/>
          <w:szCs w:val="34"/>
        </w:rPr>
        <w:t xml:space="preserve">5. Strategic Recommendations</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5.1 Model Selection Strategy</w:t>
      </w:r>
    </w:p>
    <w:p>
      <w:pPr>
        <w:spacing w:before="200" w:after="60"/>
      </w:pPr>
      <w:r>
        <w:rPr>
          <w:rFonts w:ascii="Arial" w:cs="Arial" w:eastAsia="Arial" w:hAnsi="Arial"/>
          <w:b/>
          <w:bCs/>
          <w:color w:val="1a73e8"/>
          <w:sz w:val="22"/>
          <w:szCs w:val="22"/>
        </w:rPr>
        <w:t xml:space="preserve">Phase 1 — Launch with Gemini 1.5 Flash</w:t>
      </w:r>
    </w:p>
    <w:p>
      <w:pPr>
        <w:spacing w:before="60" w:after="100"/>
      </w:pPr>
      <w:r>
        <w:rPr>
          <w:rFonts w:ascii="Arial" w:cs="Arial" w:eastAsia="Arial" w:hAnsi="Arial"/>
          <w:color w:val="1a1a1a"/>
          <w:sz w:val="22"/>
          <w:szCs w:val="22"/>
        </w:rPr>
        <w:t xml:space="preserve">Flash delivers the lowest cost per token while maintaining strong performance for standard conversational tasks. At launch, user acquisition is the priority — not maximum AI quality. The $143/month saving over Pro (at 1,000 msg/day) can be reinvested into marketing or product development.</w:t>
      </w:r>
    </w:p>
    <w:p>
      <w:pPr>
        <w:spacing w:before="80" w:after="80"/>
      </w:pPr>
      <w:r>
        <w:t xml:space="preserve"/>
      </w:r>
    </w:p>
    <w:p>
      <w:pPr>
        <w:spacing w:before="200" w:after="60"/>
      </w:pPr>
      <w:r>
        <w:rPr>
          <w:rFonts w:ascii="Arial" w:cs="Arial" w:eastAsia="Arial" w:hAnsi="Arial"/>
          <w:b/>
          <w:bCs/>
          <w:color w:val="1a73e8"/>
          <w:sz w:val="22"/>
          <w:szCs w:val="22"/>
        </w:rPr>
        <w:t xml:space="preserve">Phase 2 — Evaluate Pro at 10,000+ MAU</w:t>
      </w:r>
    </w:p>
    <w:p>
      <w:pPr>
        <w:spacing w:before="60" w:after="100"/>
      </w:pPr>
      <w:r>
        <w:rPr>
          <w:rFonts w:ascii="Arial" w:cs="Arial" w:eastAsia="Arial" w:hAnsi="Arial"/>
          <w:color w:val="1a1a1a"/>
          <w:sz w:val="22"/>
          <w:szCs w:val="22"/>
        </w:rPr>
        <w:t xml:space="preserve">Only upgrade to Pro when all three conditions are met: (1) user retention data shows quality dissatisfaction with Flash responses, (2) revenue per user exceeds $3.00/month to maintain positive unit economics, and (3) the use case involves complex reasoning tasks (legal, medical, financial analysis) where Pro's capability gap is measurable.</w:t>
      </w:r>
    </w:p>
    <w:p>
      <w:pPr>
        <w:spacing w:before="80" w:after="80"/>
      </w:pPr>
      <w:r>
        <w:t xml:space="preserve"/>
      </w:r>
    </w:p>
    <w:p>
      <w:pPr>
        <w:spacing w:before="200" w:after="60"/>
      </w:pPr>
      <w:r>
        <w:rPr>
          <w:rFonts w:ascii="Arial" w:cs="Arial" w:eastAsia="Arial" w:hAnsi="Arial"/>
          <w:b/>
          <w:bCs/>
          <w:color w:val="1a73e8"/>
          <w:sz w:val="22"/>
          <w:szCs w:val="22"/>
        </w:rPr>
        <w:t xml:space="preserve">Phase 3 — Hybrid tier strategy at Scale</w:t>
      </w:r>
    </w:p>
    <w:p>
      <w:pPr>
        <w:spacing w:before="60" w:after="100"/>
      </w:pPr>
      <w:r>
        <w:rPr>
          <w:rFonts w:ascii="Arial" w:cs="Arial" w:eastAsia="Arial" w:hAnsi="Arial"/>
          <w:color w:val="1a1a1a"/>
          <w:sz w:val="22"/>
          <w:szCs w:val="22"/>
        </w:rPr>
        <w:t xml:space="preserve">At 50,000+ MAU, consider a tiered product: a free/basic tier using Flash and a premium tier using Pro. This allows cost segmentation — high-value users subsidize their own infrastructure cost through premium pricing.</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5.2 Infrastructure Scaling Strategy</w:t>
      </w:r>
    </w:p>
    <w:p>
      <w:pPr>
        <w:pStyle w:val="ListParagraph"/>
        <w:numPr>
          <w:ilvl w:val="0"/>
          <w:numId w:val="2"/>
        </w:numPr>
        <w:spacing w:before="40" w:after="40"/>
      </w:pPr>
      <w:r>
        <w:rPr>
          <w:rFonts w:ascii="Arial" w:cs="Arial" w:eastAsia="Arial" w:hAnsi="Arial"/>
          <w:color w:val="1a1a1a"/>
          <w:sz w:val="22"/>
          <w:szCs w:val="22"/>
        </w:rPr>
        <w:t xml:space="preserve">Cloud Run: No optimization needed until 66,000+ messages/day. The free tier absorbs all costs below this threshold.</w:t>
      </w:r>
    </w:p>
    <w:p>
      <w:pPr>
        <w:pStyle w:val="ListParagraph"/>
        <w:numPr>
          <w:ilvl w:val="0"/>
          <w:numId w:val="2"/>
        </w:numPr>
        <w:spacing w:before="40" w:after="40"/>
      </w:pPr>
      <w:r>
        <w:rPr>
          <w:rFonts w:ascii="Arial" w:cs="Arial" w:eastAsia="Arial" w:hAnsi="Arial"/>
          <w:color w:val="1a1a1a"/>
          <w:sz w:val="22"/>
          <w:szCs w:val="22"/>
        </w:rPr>
        <w:t xml:space="preserve">Firestore: Monitor read/write ratios. Implement client-side caching of conversation history to reduce redundant reads as volume grows.</w:t>
      </w:r>
    </w:p>
    <w:p>
      <w:pPr>
        <w:pStyle w:val="ListParagraph"/>
        <w:numPr>
          <w:ilvl w:val="0"/>
          <w:numId w:val="2"/>
        </w:numPr>
        <w:spacing w:before="40" w:after="40"/>
      </w:pPr>
      <w:r>
        <w:rPr>
          <w:rFonts w:ascii="Arial" w:cs="Arial" w:eastAsia="Arial" w:hAnsi="Arial"/>
          <w:color w:val="1a1a1a"/>
          <w:sz w:val="22"/>
          <w:szCs w:val="22"/>
        </w:rPr>
        <w:t xml:space="preserve">Cloud Storage: Egress is the fastest-growing cost component. Implement CDN caching for frequently accessed files to reduce billable egress.</w:t>
      </w:r>
    </w:p>
    <w:p>
      <w:pPr>
        <w:pStyle w:val="ListParagraph"/>
        <w:numPr>
          <w:ilvl w:val="0"/>
          <w:numId w:val="2"/>
        </w:numPr>
        <w:spacing w:before="40" w:after="40"/>
      </w:pPr>
      <w:r>
        <w:rPr>
          <w:rFonts w:ascii="Arial" w:cs="Arial" w:eastAsia="Arial" w:hAnsi="Arial"/>
          <w:color w:val="1a1a1a"/>
          <w:sz w:val="22"/>
          <w:szCs w:val="22"/>
        </w:rPr>
        <w:t xml:space="preserve">Multi-region: Do not expand to multi-region deployment until latency data justifies it. Single-region GCP deployment is sufficient for up to 100,000 MAU.</w:t>
      </w:r>
    </w:p>
    <w:p>
      <w:pPr>
        <w:spacing w:before="80" w:after="80"/>
      </w:pPr>
      <w:r>
        <w:t xml:space="preserve"/>
      </w:r>
    </w:p>
    <w:p>
      <w:pPr>
        <w:pStyle w:val="Heading2"/>
        <w:spacing w:before="280" w:after="80"/>
      </w:pPr>
      <w:r>
        <w:rPr>
          <w:rFonts w:ascii="Arial" w:cs="Arial" w:eastAsia="Arial" w:hAnsi="Arial"/>
          <w:b/>
          <w:bCs/>
          <w:color w:val="1a1a1a"/>
          <w:sz w:val="26"/>
          <w:szCs w:val="26"/>
        </w:rPr>
        <w:t xml:space="preserve">5.3 Free Tier Utilization</w:t>
      </w:r>
    </w:p>
    <w:p>
      <w:pPr>
        <w:spacing w:before="60" w:after="100"/>
      </w:pPr>
      <w:r>
        <w:rPr>
          <w:rFonts w:ascii="Arial" w:cs="Arial" w:eastAsia="Arial" w:hAnsi="Arial"/>
          <w:color w:val="1a1a1a"/>
          <w:sz w:val="22"/>
          <w:szCs w:val="22"/>
        </w:rPr>
        <w:t xml:space="preserve">GCP's free tiers provide significant runway before infrastructure costs become material. The following thresholds represent the boundaries of zero-cost infrastructure operation:</w:t>
      </w:r>
    </w:p>
    <w:p>
      <w:pPr>
        <w:spacing w:before="80" w:after="80"/>
      </w:pPr>
      <w:r>
        <w:t xml:space="preserve"/>
      </w:r>
    </w:p>
    <w:tbl>
      <w:tblPr>
        <w:tblW w:type="dxa" w:w="9360"/>
      </w:tblPr>
      <w:tblGrid>
        <w:gridCol w:w="3000"/>
        <w:gridCol w:w="2680"/>
        <w:gridCol w:w="368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6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Free tier limit</w:t>
            </w:r>
          </w:p>
        </w:tc>
        <w:tc>
          <w:tcPr>
            <w:tcW w:type="dxa" w:w="3680"/>
            <w:tcBorders>
              <w:top w:val="single" w:color="CCCCCC" w:sz="1"/>
              <w:left w:val="single" w:color="CCCCCC" w:sz="1"/>
              <w:bottom w:val="single" w:color="CCCCCC" w:sz="1"/>
              <w:right w:val="single" w:color="CCCCCC" w:sz="1"/>
            </w:tcBorders>
            <w:shd w:fill="1a73e8" w:val="clear"/>
            <w:tcMar>
              <w:top w:type="dxa" w:w="90"/>
              <w:left w:type="dxa" w:w="130"/>
              <w:bottom w:type="dxa" w:w="90"/>
              <w:right w:type="dxa" w:w="130"/>
            </w:tcMar>
          </w:tcPr>
          <w:p>
            <w:r>
              <w:rPr>
                <w:rFonts w:ascii="Arial" w:cs="Arial" w:eastAsia="Arial" w:hAnsi="Arial"/>
                <w:b/>
                <w:bCs/>
                <w:color w:val="FFFFFF"/>
                <w:sz w:val="20"/>
                <w:szCs w:val="20"/>
              </w:rPr>
              <w:t xml:space="preserve">Messages/day equivalent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Cloud Run requests</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2,000,000 req/month</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~66,666 msg/day</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Firestore reads</w:t>
            </w:r>
          </w:p>
        </w:tc>
        <w:tc>
          <w:tcPr>
            <w:tcW w:type="dxa" w:w="26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50,000 reads/day</w:t>
            </w:r>
          </w:p>
        </w:tc>
        <w:tc>
          <w:tcPr>
            <w:tcW w:type="dxa" w:w="36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25,000 msg/day (2 reads/msg)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Firestore writes</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20,000 writes/day</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20,000 msg/day</w:t>
            </w:r>
          </w:p>
        </w:tc>
      </w:tr>
      <w:tr>
        <w:tc>
          <w:tcPr>
            <w:tcW w:type="dxa" w:w="300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Cloud Storage</w:t>
            </w:r>
          </w:p>
        </w:tc>
        <w:tc>
          <w:tcPr>
            <w:tcW w:type="dxa" w:w="26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5 GiB storage, 1 GiB egress</w:t>
            </w:r>
          </w:p>
        </w:tc>
        <w:tc>
          <w:tcPr>
            <w:tcW w:type="dxa" w:w="3680"/>
            <w:tcBorders>
              <w:top w:val="single" w:color="CCCCCC" w:sz="1"/>
              <w:left w:val="single" w:color="CCCCCC" w:sz="1"/>
              <w:bottom w:val="single" w:color="CCCCCC" w:sz="1"/>
              <w:right w:val="single" w:color="CCCCCC" w:sz="1"/>
            </w:tcBorders>
            <w:shd w:fill="f8f9fa" w:val="clear"/>
            <w:tcMar>
              <w:top w:type="dxa" w:w="90"/>
              <w:left w:type="dxa" w:w="130"/>
              <w:bottom w:type="dxa" w:w="90"/>
              <w:right w:type="dxa" w:w="130"/>
            </w:tcMar>
          </w:tcPr>
          <w:p>
            <w:r>
              <w:rPr>
                <w:rFonts w:ascii="Arial" w:cs="Arial" w:eastAsia="Arial" w:hAnsi="Arial"/>
                <w:color w:val="1a1a1a"/>
                <w:sz w:val="20"/>
                <w:szCs w:val="20"/>
              </w:rPr>
              <w:t xml:space="preserve">Depends on file volume</w:t>
            </w:r>
          </w:p>
        </w:tc>
      </w:tr>
    </w:tbl>
    <w:p>
      <w:pPr>
        <w:spacing w:before="80" w:after="80"/>
      </w:pPr>
      <w:r>
        <w:t xml:space="preserve"/>
      </w:r>
    </w:p>
    <w:p>
      <w:pPr>
        <w:pStyle w:val="Heading1"/>
        <w:pBdr>
          <w:bottom w:val="single" w:color="1a73e8" w:sz="6" w:space="4"/>
        </w:pBdr>
        <w:spacing w:before="400" w:after="120"/>
      </w:pPr>
      <w:r>
        <w:rPr>
          <w:rFonts w:ascii="Arial" w:cs="Arial" w:eastAsia="Arial" w:hAnsi="Arial"/>
          <w:b/>
          <w:bCs/>
          <w:color w:val="1a73e8"/>
          <w:sz w:val="34"/>
          <w:szCs w:val="34"/>
        </w:rPr>
        <w:t xml:space="preserve">6. Conclusion</w:t>
      </w:r>
    </w:p>
    <w:p>
      <w:pPr>
        <w:spacing w:before="60" w:after="100"/>
      </w:pPr>
      <w:r>
        <w:rPr>
          <w:rFonts w:ascii="Arial" w:cs="Arial" w:eastAsia="Arial" w:hAnsi="Arial"/>
          <w:color w:val="1a1a1a"/>
          <w:sz w:val="22"/>
          <w:szCs w:val="22"/>
        </w:rPr>
        <w:t xml:space="preserve">The CFO Bot analysis demonstrates that building an AI chatbot on Google Cloud Platform is commercially viable at every scale examined. The key findings are:</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The AI model (Gemini API) is the dominant cost driver, accounting for 69–99% of total monthly spend. All other infrastructure is secondary.</w:t>
      </w:r>
    </w:p>
    <w:p>
      <w:pPr>
        <w:pStyle w:val="ListParagraph"/>
        <w:numPr>
          <w:ilvl w:val="0"/>
          <w:numId w:val="2"/>
        </w:numPr>
        <w:spacing w:before="40" w:after="40"/>
      </w:pPr>
      <w:r>
        <w:rPr>
          <w:rFonts w:ascii="Arial" w:cs="Arial" w:eastAsia="Arial" w:hAnsi="Arial"/>
          <w:color w:val="1a1a1a"/>
          <w:sz w:val="22"/>
          <w:szCs w:val="22"/>
        </w:rPr>
        <w:t xml:space="preserve">Cost per user is remarkably stable at $0.01/user with Gemini Flash across startup, growth, and scale stages — enabling predictable unit economics.</w:t>
      </w:r>
    </w:p>
    <w:p>
      <w:pPr>
        <w:pStyle w:val="ListParagraph"/>
        <w:numPr>
          <w:ilvl w:val="0"/>
          <w:numId w:val="2"/>
        </w:numPr>
        <w:spacing w:before="40" w:after="40"/>
      </w:pPr>
      <w:r>
        <w:rPr>
          <w:rFonts w:ascii="Arial" w:cs="Arial" w:eastAsia="Arial" w:hAnsi="Arial"/>
          <w:color w:val="1a1a1a"/>
          <w:sz w:val="22"/>
          <w:szCs w:val="22"/>
        </w:rPr>
        <w:t xml:space="preserve">GCP's free tiers eliminate infrastructure costs entirely at startup scale, allowing teams to validate product-market fit before incurring meaningful cloud costs.</w:t>
      </w:r>
    </w:p>
    <w:p>
      <w:pPr>
        <w:pStyle w:val="ListParagraph"/>
        <w:numPr>
          <w:ilvl w:val="0"/>
          <w:numId w:val="2"/>
        </w:numPr>
        <w:spacing w:before="40" w:after="40"/>
      </w:pPr>
      <w:r>
        <w:rPr>
          <w:rFonts w:ascii="Arial" w:cs="Arial" w:eastAsia="Arial" w:hAnsi="Arial"/>
          <w:color w:val="1a1a1a"/>
          <w:sz w:val="22"/>
          <w:szCs w:val="22"/>
        </w:rPr>
        <w:t xml:space="preserve">The Flash-to-Pro upgrade decision should be driven by user retention data, not by engineering preference. The 26.8× cost difference demands business justification.</w:t>
      </w:r>
    </w:p>
    <w:p>
      <w:pPr>
        <w:pStyle w:val="ListParagraph"/>
        <w:numPr>
          <w:ilvl w:val="0"/>
          <w:numId w:val="2"/>
        </w:numPr>
        <w:spacing w:before="40" w:after="40"/>
      </w:pPr>
      <w:r>
        <w:rPr>
          <w:rFonts w:ascii="Arial" w:cs="Arial" w:eastAsia="Arial" w:hAnsi="Arial"/>
          <w:color w:val="1a1a1a"/>
          <w:sz w:val="22"/>
          <w:szCs w:val="22"/>
        </w:rPr>
        <w:t xml:space="preserve">Firebase Hosting is the correct deployment target for the frontend — it delivers global CDN performance at zero cost within the Spark free tier.</w:t>
      </w:r>
    </w:p>
    <w:p>
      <w:pPr>
        <w:spacing w:before="80" w:after="80"/>
      </w:pPr>
      <w:r>
        <w:t xml:space="preserve"/>
      </w:r>
    </w:p>
    <w:p>
      <w:pPr>
        <w:pBdr>
          <w:top w:val="single" w:color="1b5e20" w:sz="4"/>
          <w:bottom w:val="single" w:color="1b5e20" w:sz="4"/>
          <w:left w:val="single" w:color="1b5e20" w:sz="16"/>
          <w:right w:val="single" w:color="1b5e20" w:sz="4"/>
        </w:pBdr>
        <w:shd w:fill="e8f5e9" w:val="clear"/>
        <w:spacing w:before="120" w:after="120"/>
        <w:ind w:left="200" w:right="200"/>
      </w:pPr>
      <w:r>
        <w:rPr>
          <w:rFonts w:ascii="Arial" w:cs="Arial" w:eastAsia="Arial" w:hAnsi="Arial"/>
          <w:i/>
          <w:iCs/>
          <w:color w:val="1a1a1a"/>
          <w:sz w:val="22"/>
          <w:szCs w:val="22"/>
        </w:rPr>
        <w:t xml:space="preserve">Final recommendation: Launch with Gemini 1.5 Flash on Firebase. Your first 500 users cost $4.40/month. Your first 50,000 users cost $555/month. You can charge $5/user and maintain 99.8% gross margin throughout your growth journey. The architecture is sound, the economics are proven, and the upgrade path to Pro is clearly defined.</w:t>
      </w:r>
    </w:p>
    <w:p>
      <w:pPr>
        <w:spacing w:before="80" w:after="80"/>
      </w:pPr>
      <w:r>
        <w:t xml:space="preserve"/>
      </w:r>
    </w:p>
    <w:p>
      <w:pPr>
        <w:pBdr>
          <w:top w:val="single" w:color="e2e6ef" w:sz="4" w:space="4"/>
        </w:pBdr>
        <w:spacing w:before="240" w:after="0"/>
        <w:jc w:val="center"/>
      </w:pPr>
      <w:r>
        <w:rPr>
          <w:rFonts w:ascii="Arial" w:cs="Arial" w:eastAsia="Arial" w:hAnsi="Arial"/>
          <w:color w:val="999999"/>
          <w:sz w:val="18"/>
          <w:szCs w:val="18"/>
        </w:rPr>
        <w:t xml:space="preserve">CFO Bot — Phase 4 Pricing Strategy Document  |  TSIS 3 Cloud Computing for Big Data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CFO Bot Pricing Strategy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spacing w:after="80"/>
    </w:pPr>
    <w:r>
      <w:rPr>
        <w:rFonts w:ascii="Arial" w:cs="Arial" w:eastAsia="Arial" w:hAnsi="Arial"/>
        <w:color w:val="888888"/>
        <w:sz w:val="18"/>
        <w:szCs w:val="18"/>
      </w:rPr>
      <w:t xml:space="preserve">CFO Bot — Cloud Pricing Strategy Document  |  TSIS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73e8"/>
      <w:sz w:val="34"/>
      <w:szCs w:val="34"/>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2026-04-09T04:32:55.321Z</dcterms:created>
  <dcterms:modified xsi:type="dcterms:W3CDTF">2026-04-09T04:32:55.323Z</dcterms:modified>
</cp:coreProperties>
</file>

<file path=docProps/custom.xml><?xml version="1.0" encoding="utf-8"?>
<Properties xmlns="http://schemas.openxmlformats.org/officeDocument/2006/custom-properties" xmlns:vt="http://schemas.openxmlformats.org/officeDocument/2006/docPropsVTypes"/>
</file>