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DOCX Test Document</w:t>
      </w:r>
    </w:p>
    <w:p>
      <w:pPr>
        <w:jc w:val="center"/>
      </w:pPr>
      <w:r>
        <w:rPr>
          <w:b/>
        </w:rPr>
        <w:t xml:space="preserve">Purpose: </w:t>
      </w:r>
      <w:r>
        <w:t>Test all Word document elements for conversion quality</w:t>
        <w:br/>
      </w:r>
      <w:r>
        <w:rPr>
          <w:i/>
        </w:rPr>
        <w:t xml:space="preserve">Created: </w:t>
      </w:r>
      <w:r>
        <w:t xml:space="preserve">November 10, 2025 | </w:t>
      </w:r>
      <w:r>
        <w:rPr>
          <w:i/>
        </w:rPr>
        <w:t xml:space="preserve">Version: </w:t>
      </w:r>
      <w:r>
        <w:t>1.0</w:t>
      </w:r>
    </w:p>
    <w:p>
      <w:r>
        <w:br w:type="page"/>
      </w:r>
    </w:p>
    <w:p>
      <w:pPr>
        <w:pStyle w:val="Heading1"/>
      </w:pPr>
      <w:r>
        <w:t>1. Heading Hierarchy</w:t>
      </w:r>
    </w:p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pPr>
        <w:pStyle w:val="Heading5"/>
      </w:pPr>
      <w:r>
        <w:t>Heading Level 5</w:t>
      </w:r>
    </w:p>
    <w:p>
      <w:pPr>
        <w:pStyle w:val="Heading1"/>
      </w:pPr>
      <w:r>
        <w:t>2. Text Formatting</w:t>
      </w:r>
    </w:p>
    <w:p>
      <w:r>
        <w:t xml:space="preserve">This paragraph demonstrates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u w:val="single"/>
        </w:rPr>
        <w:t>underlined text</w:t>
      </w:r>
      <w:r>
        <w:t xml:space="preserve">, and </w:t>
      </w:r>
      <w:r>
        <w:rPr>
          <w:color w:val="FF0000"/>
        </w:rPr>
        <w:t>colored text</w:t>
      </w:r>
      <w:r>
        <w:t>.</w:t>
      </w:r>
    </w:p>
    <w:p>
      <w:r>
        <w:t xml:space="preserve">This shows </w:t>
      </w:r>
      <w:r>
        <w:rPr>
          <w:highlight w:val="yellow"/>
        </w:rPr>
        <w:t>highlighted text</w:t>
      </w:r>
      <w:r>
        <w:t xml:space="preserve"> and </w:t>
      </w:r>
      <w:r>
        <w:rPr>
          <w:strike/>
        </w:rPr>
        <w:t>strike-through text</w:t>
      </w:r>
      <w:r>
        <w:t>.</w:t>
      </w:r>
    </w:p>
    <w:p>
      <w:r>
        <w:t xml:space="preserve">Font sizes: </w:t>
      </w:r>
      <w:r>
        <w:rPr>
          <w:sz w:val="16"/>
        </w:rPr>
        <w:t xml:space="preserve">Small (8pt) </w:t>
      </w:r>
      <w:r>
        <w:rPr>
          <w:sz w:val="22"/>
        </w:rPr>
        <w:t xml:space="preserve">Normal (11pt) </w:t>
      </w:r>
      <w:r>
        <w:rPr>
          <w:sz w:val="32"/>
        </w:rPr>
        <w:t xml:space="preserve">Large (16pt) </w:t>
      </w:r>
      <w:r>
        <w:rPr>
          <w:sz w:val="48"/>
        </w:rPr>
        <w:t>Extra Large (24pt)</w:t>
      </w:r>
    </w:p>
    <w:p>
      <w:r>
        <w:t>Superscript: E = mc</w:t>
      </w:r>
      <w:r>
        <w:rPr>
          <w:vertAlign w:val="superscript"/>
        </w:rPr>
        <w:t>2</w:t>
      </w:r>
    </w:p>
    <w:p>
      <w:r>
        <w:t>Subscript: H</w:t>
      </w:r>
      <w:r>
        <w:rPr>
          <w:vertAlign w:val="subscript"/>
        </w:rPr>
        <w:t>2</w:t>
      </w:r>
      <w:r>
        <w:t>O</w:t>
      </w:r>
    </w:p>
    <w:p>
      <w:pPr>
        <w:pStyle w:val="Heading1"/>
      </w:pPr>
      <w:r>
        <w:t>3. Lists</w:t>
      </w:r>
    </w:p>
    <w:p>
      <w:pPr>
        <w:pStyle w:val="Heading2"/>
      </w:pPr>
      <w:r>
        <w:t>3.1 Bulleted List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 with sub-items</w:t>
      </w:r>
    </w:p>
    <w:p>
      <w:pPr>
        <w:pStyle w:val="ListBullet2"/>
      </w:pPr>
      <w:r>
        <w:t>Sub-item 1</w:t>
      </w:r>
    </w:p>
    <w:p>
      <w:pPr>
        <w:pStyle w:val="ListBullet2"/>
      </w:pPr>
      <w:r>
        <w:t>Sub-item 2</w:t>
      </w:r>
    </w:p>
    <w:p>
      <w:pPr>
        <w:pStyle w:val="ListBullet3"/>
      </w:pPr>
      <w:r>
        <w:t>Deep nested item</w:t>
      </w:r>
    </w:p>
    <w:p>
      <w:pPr>
        <w:pStyle w:val="ListBullet"/>
      </w:pPr>
      <w:r>
        <w:t>Fourth bullet point</w:t>
      </w:r>
    </w:p>
    <w:p>
      <w:pPr>
        <w:pStyle w:val="Heading2"/>
      </w:pPr>
      <w:r>
        <w:t>3.2 Numbered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ListNumber2"/>
      </w:pPr>
      <w:r>
        <w:t>Sub-numbered item A</w:t>
      </w:r>
    </w:p>
    <w:p>
      <w:pPr>
        <w:pStyle w:val="ListNumber2"/>
      </w:pPr>
      <w:r>
        <w:t>Sub-numbered item B</w:t>
      </w:r>
    </w:p>
    <w:p>
      <w:pPr>
        <w:pStyle w:val="ListNumber"/>
      </w:pPr>
      <w:r>
        <w:t>Fourth numbered item</w:t>
      </w:r>
    </w:p>
    <w:p>
      <w:pPr>
        <w:pStyle w:val="Heading1"/>
      </w:pPr>
      <w:r>
        <w:t>4. Tables</w:t>
      </w:r>
    </w:p>
    <w:p>
      <w:pPr>
        <w:pStyle w:val="Heading2"/>
      </w:pPr>
      <w:r>
        <w:t>4.1 Simple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Occupation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Software Engineer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London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Tokyo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</w:tr>
    </w:tbl>
    <w:p/>
    <w:p>
      <w:pPr>
        <w:pStyle w:val="Heading2"/>
      </w:pPr>
      <w:r>
        <w:t>4.2 Styled Table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</w:tr>
      <w:tr>
        <w:tc>
          <w:tcPr>
            <w:tcW w:type="dxa" w:w="2160"/>
          </w:tcPr>
          <w:p>
            <w:r>
              <w:t>Q1 2024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</w:tr>
      <w:tr>
        <w:tc>
          <w:tcPr>
            <w:tcW w:type="dxa" w:w="2160"/>
          </w:tcPr>
          <w:p>
            <w:r>
              <w:t>Q2 2024</w:t>
            </w:r>
          </w:p>
        </w:tc>
        <w:tc>
          <w:tcPr>
            <w:tcW w:type="dxa" w:w="2160"/>
          </w:tcPr>
          <w:p>
            <w:r>
              <w:t>$175,000</w:t>
            </w:r>
          </w:p>
        </w:tc>
        <w:tc>
          <w:tcPr>
            <w:tcW w:type="dxa" w:w="2160"/>
          </w:tcPr>
          <w:p>
            <w:r>
              <w:t>$110,000</w:t>
            </w:r>
          </w:p>
        </w:tc>
        <w:tc>
          <w:tcPr>
            <w:tcW w:type="dxa" w:w="2160"/>
          </w:tcPr>
          <w:p>
            <w:r>
              <w:t>$65,000</w:t>
            </w:r>
          </w:p>
        </w:tc>
      </w:tr>
      <w:tr>
        <w:tc>
          <w:tcPr>
            <w:tcW w:type="dxa" w:w="2160"/>
          </w:tcPr>
          <w:p>
            <w:r>
              <w:t>Q3 2024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</w:tr>
      <w:tr>
        <w:tc>
          <w:tcPr>
            <w:tcW w:type="dxa" w:w="2160"/>
          </w:tcPr>
          <w:p>
            <w:r>
              <w:t>Q4 2024</w:t>
            </w:r>
          </w:p>
        </w:tc>
        <w:tc>
          <w:tcPr>
            <w:tcW w:type="dxa" w:w="2160"/>
          </w:tcPr>
          <w:p>
            <w:r>
              <w:t>$225,000</w:t>
            </w:r>
          </w:p>
        </w:tc>
        <w:tc>
          <w:tcPr>
            <w:tcW w:type="dxa" w:w="2160"/>
          </w:tcPr>
          <w:p>
            <w:r>
              <w:t>$130,000</w:t>
            </w:r>
          </w:p>
        </w:tc>
        <w:tc>
          <w:tcPr>
            <w:tcW w:type="dxa" w:w="2160"/>
          </w:tcPr>
          <w:p>
            <w:r>
              <w:t>$95,000</w:t>
            </w:r>
          </w:p>
        </w:tc>
      </w:tr>
    </w:tbl>
    <w:p>
      <w:pPr>
        <w:pStyle w:val="Heading1"/>
      </w:pPr>
      <w:r>
        <w:t>5. Images</w:t>
      </w:r>
    </w:p>
    <w:p>
      <w:r>
        <w:t>Image placeholder: In a real document, images would be embedded here.</w:t>
      </w:r>
    </w:p>
    <w:p>
      <w:r>
        <w:br w:type="page"/>
      </w:r>
    </w:p>
    <w:p>
      <w:pPr>
        <w:pStyle w:val="Heading1"/>
      </w:pPr>
      <w:r>
        <w:t>6. Code Blocks</w:t>
      </w:r>
    </w:p>
    <w:p>
      <w:r>
        <w:t>Python code example:</w:t>
      </w:r>
    </w:p>
    <w:p>
      <w:pPr>
        <w:pStyle w:val="NoSpacing"/>
      </w:pPr>
      <w:r>
        <w:rPr>
          <w:rFonts w:ascii="Courier New" w:hAnsi="Courier New"/>
          <w:sz w:val="18"/>
        </w:rPr>
        <w:t>def fibonacci(n):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Test</w:t>
        <w:br/>
        <w:t>for i in range(10):</w:t>
        <w:br/>
        <w:t xml:space="preserve">    print(f"F({i}) = {fibonacci(i)}")</w:t>
      </w:r>
    </w:p>
    <w:p>
      <w:pPr>
        <w:pStyle w:val="Heading1"/>
      </w:pPr>
      <w:r>
        <w:t>7. Quotes</w:t>
      </w:r>
    </w:p>
    <w:p>
      <w:pPr>
        <w:pStyle w:val="Quote"/>
      </w:pPr>
      <w:r>
        <w:t>"The best way to predict the future is to invent it."</w:t>
      </w:r>
    </w:p>
    <w:p>
      <w:pPr>
        <w:jc w:val="right"/>
      </w:pPr>
      <w:r>
        <w:rPr>
          <w:i/>
        </w:rPr>
        <w:t>— Alan Kay</w:t>
      </w:r>
    </w:p>
    <w:p>
      <w:pPr>
        <w:pStyle w:val="Heading1"/>
      </w:pPr>
      <w:r>
        <w:t>8. Text Alignment</w:t>
      </w:r>
    </w:p>
    <w:p>
      <w:pPr>
        <w:jc w:val="left"/>
      </w:pPr>
      <w:r>
        <w:t>This paragraph is left-aligned (default).</w:t>
      </w:r>
    </w:p>
    <w:p>
      <w:pPr>
        <w:jc w:val="center"/>
      </w:pPr>
      <w:r>
        <w:t>This paragraph is center-aligned.</w:t>
      </w:r>
    </w:p>
    <w:p>
      <w:pPr>
        <w:jc w:val="right"/>
      </w:pPr>
      <w:r>
        <w:t>This paragraph is right-aligned.</w:t>
      </w:r>
    </w:p>
    <w:p>
      <w:pPr>
        <w:jc w:val="both"/>
      </w:pPr>
      <w:r>
        <w:t>This paragraph is justified. Justified text aligns to both the left and right margins, adding extra space between words as necessary. This creates a clean, professional look for longer documents.</w:t>
      </w:r>
    </w:p>
    <w:p>
      <w:pPr>
        <w:pStyle w:val="Heading1"/>
      </w:pPr>
      <w:r>
        <w:t>9. Special Characters</w:t>
      </w:r>
    </w:p>
    <w:p>
      <w:r>
        <w:t>Math symbols: sum integral sqrt infinity approx not-equal less-equal greater-equal plus-minus multiply</w:t>
      </w:r>
    </w:p>
    <w:p>
      <w:r>
        <w:t>Currency: $ EUR GBP YEN INR</w:t>
      </w:r>
    </w:p>
    <w:p>
      <w:r>
        <w:t>Arrows: left right up down left-right</w:t>
      </w:r>
    </w:p>
    <w:p>
      <w:r>
        <w:t>Symbols: copyright registered trademark section paragraph bullet circle-bullet triangle-bullet</w:t>
      </w:r>
    </w:p>
    <w:p>
      <w:r>
        <w:t>Greek: alpha beta gamma delta epsilon theta lambda mu pi sigma phi psi omega</w:t>
      </w:r>
    </w:p>
    <w:p>
      <w:pPr>
        <w:pStyle w:val="Heading1"/>
      </w:pPr>
      <w:r>
        <w:t>10. Page Breaks and Sections</w:t>
      </w:r>
    </w:p>
    <w:p>
      <w:r>
        <w:t>This is the last section before the page break.</w:t>
      </w:r>
    </w:p>
    <w:p>
      <w:r>
        <w:t>The next content will appear on a new page.</w:t>
      </w:r>
    </w:p>
    <w:p>
      <w:r>
        <w:br w:type="page"/>
      </w:r>
    </w:p>
    <w:p>
      <w:pPr>
        <w:pStyle w:val="Title"/>
      </w:pPr>
      <w:r>
        <w:t>Document Summary</w:t>
      </w:r>
    </w:p>
    <w:p>
      <w:r>
        <w:t>This comprehensive DOCX document includes:</w:t>
      </w:r>
    </w:p>
    <w:p>
      <w:pPr>
        <w:pStyle w:val="ListBullet"/>
      </w:pPr>
      <w:r>
        <w:rPr>
          <w:color w:val="008000"/>
        </w:rPr>
        <w:t xml:space="preserve">[OK] </w:t>
      </w:r>
      <w:r>
        <w:t>All heading levels (1-5)</w:t>
      </w:r>
    </w:p>
    <w:p>
      <w:pPr>
        <w:pStyle w:val="ListBullet"/>
      </w:pPr>
      <w:r>
        <w:rPr>
          <w:color w:val="008000"/>
        </w:rPr>
        <w:t xml:space="preserve">[OK] </w:t>
      </w:r>
      <w:r>
        <w:t>Text formatting (bold, italic, underline, colors, highlights)</w:t>
      </w:r>
    </w:p>
    <w:p>
      <w:pPr>
        <w:pStyle w:val="ListBullet"/>
      </w:pPr>
      <w:r>
        <w:rPr>
          <w:color w:val="008000"/>
        </w:rPr>
        <w:t xml:space="preserve">[OK] </w:t>
      </w:r>
      <w:r>
        <w:t>Font sizes and styles</w:t>
      </w:r>
    </w:p>
    <w:p>
      <w:pPr>
        <w:pStyle w:val="ListBullet"/>
      </w:pPr>
      <w:r>
        <w:rPr>
          <w:color w:val="008000"/>
        </w:rPr>
        <w:t xml:space="preserve">[OK] </w:t>
      </w:r>
      <w:r>
        <w:t>Superscript and subscript</w:t>
      </w:r>
    </w:p>
    <w:p>
      <w:pPr>
        <w:pStyle w:val="ListBullet"/>
      </w:pPr>
      <w:r>
        <w:rPr>
          <w:color w:val="008000"/>
        </w:rPr>
        <w:t xml:space="preserve">[OK] </w:t>
      </w:r>
      <w:r>
        <w:t>Bulleted and numbered lists (nested)</w:t>
      </w:r>
    </w:p>
    <w:p>
      <w:pPr>
        <w:pStyle w:val="ListBullet"/>
      </w:pPr>
      <w:r>
        <w:rPr>
          <w:color w:val="008000"/>
        </w:rPr>
        <w:t xml:space="preserve">[OK] </w:t>
      </w:r>
      <w:r>
        <w:t>Tables (simple and styled)</w:t>
      </w:r>
    </w:p>
    <w:p>
      <w:pPr>
        <w:pStyle w:val="ListBullet"/>
      </w:pPr>
      <w:r>
        <w:rPr>
          <w:color w:val="008000"/>
        </w:rPr>
        <w:t xml:space="preserve">[OK] </w:t>
      </w:r>
      <w:r>
        <w:t>Code blocks with monospace font</w:t>
      </w:r>
    </w:p>
    <w:p>
      <w:pPr>
        <w:pStyle w:val="ListBullet"/>
      </w:pPr>
      <w:r>
        <w:rPr>
          <w:color w:val="008000"/>
        </w:rPr>
        <w:t xml:space="preserve">[OK] </w:t>
      </w:r>
      <w:r>
        <w:t>Quotes with attribution</w:t>
      </w:r>
    </w:p>
    <w:p>
      <w:pPr>
        <w:pStyle w:val="ListBullet"/>
      </w:pPr>
      <w:r>
        <w:rPr>
          <w:color w:val="008000"/>
        </w:rPr>
        <w:t xml:space="preserve">[OK] </w:t>
      </w:r>
      <w:r>
        <w:t>Text alignments (left, center, right, justify)</w:t>
      </w:r>
    </w:p>
    <w:p>
      <w:pPr>
        <w:pStyle w:val="ListBullet"/>
      </w:pPr>
      <w:r>
        <w:rPr>
          <w:color w:val="008000"/>
        </w:rPr>
        <w:t xml:space="preserve">[OK] </w:t>
      </w:r>
      <w:r>
        <w:t>Special characters (math, currency, symbols)</w:t>
      </w:r>
    </w:p>
    <w:p>
      <w:pPr>
        <w:pStyle w:val="ListBullet"/>
      </w:pPr>
      <w:r>
        <w:rPr>
          <w:color w:val="008000"/>
        </w:rPr>
        <w:t xml:space="preserve">[OK] </w:t>
      </w:r>
      <w:r>
        <w:t>Page breaks</w:t>
      </w:r>
    </w:p>
    <w:p>
      <w:pPr>
        <w:pStyle w:val="ListBullet"/>
      </w:pPr>
      <w:r>
        <w:rPr>
          <w:color w:val="008000"/>
        </w:rPr>
        <w:t xml:space="preserve">[OK] </w:t>
      </w:r>
      <w:r>
        <w:t>Multiple sections</w:t>
      </w:r>
    </w:p>
    <w:p/>
    <w:p>
      <w:r>
        <w:rPr>
          <w:b/>
        </w:rPr>
        <w:t xml:space="preserve">Total: </w:t>
      </w:r>
      <w:r>
        <w:t>10 sections covering 50+ Word document features</w:t>
      </w:r>
    </w:p>
    <w:p/>
    <w:p>
      <w:pPr>
        <w:jc w:val="center"/>
      </w:pPr>
      <w:r>
        <w:rPr>
          <w:color w:val="808080"/>
          <w:sz w:val="18"/>
        </w:rPr>
        <w:t>© 2025 ConverterAI | Comprehensive Test Suite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