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2"/>
        </w:rPr>
        <w:t>北京交通大学计算机与信息技术学院实习实训日志</w:t>
        <w:br/>
        <w:t>胡哲祺（24281098）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440"/>
            <w:shd w:fill="DBEAFE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E40AF"/>
                <w:sz w:val="18"/>
              </w:rPr>
              <w:t>日期</w:t>
            </w:r>
          </w:p>
        </w:tc>
        <w:tc>
          <w:tcPr>
            <w:tcW w:type="dxa" w:w="6624"/>
            <w:shd w:fill="DBEAFE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E40AF"/>
                <w:sz w:val="18"/>
              </w:rPr>
              <w:t>工作内容</w:t>
            </w:r>
          </w:p>
        </w:tc>
        <w:tc>
          <w:tcPr>
            <w:tcW w:type="dxa" w:w="1440"/>
            <w:shd w:fill="DBEAFE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E40AF"/>
                <w:sz w:val="18"/>
              </w:rPr>
              <w:t>完成情况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2026-07-10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选题与需求分析：确定视觉 AI 方向，明确从车牌检测扩展到企业车辆管理系统。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已完成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2026-07-11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数据源调研：比较 Roboflow、Zenodo、Kaggle 数据集，确认车牌检测数据格式。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已完成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2026-07-12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数据下载与整理：下载并放置公开数据集，处理 YOLO 标注与目录结构。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已完成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2026-07-13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数据集合并：编写合并脚本，形成 train/valid/test 统一数据集。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已完成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2026-07-14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模型训练脚本：实现 Tiny-YOLO 风格模型、损失函数和数据增强。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已完成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2026-07-15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模型训练与调参：完成 12 轮训练，记录验证损失和测试损失。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已完成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2026-07-16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后端接口联调：Flask 接收图片，调用模型并返回 JSON 结果与裁剪图。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已完成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2026-07-17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前端识别页面：完成上传、预览、识别结果、车牌裁剪等基础交互。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已完成</w:t>
            </w:r>
          </w:p>
        </w:tc>
      </w:tr>
    </w:tbl>
    <w:p/>
    <w:p>
      <w:pPr>
        <w:spacing w:line="283" w:lineRule="auto" w:after="120"/>
      </w:pPr>
      <w:r>
        <w:rPr>
          <w:rFonts w:ascii="Microsoft YaHei" w:hAnsi="Microsoft YaHei" w:eastAsia="Microsoft YaHei"/>
          <w:b w:val="0"/>
          <w:sz w:val="21"/>
        </w:rPr>
        <w:t>个人总结：本阶段主要承担总体设计、进度统筹、报告统稿、模型训练验收、答辩组织。通过本项目，进一步熟悉了视觉 AI 项目从数据、模型到系统展示的完整流程，也理解了课程作业对分工、过程材料和可运行成果的要求。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E40A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17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