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35E"/>
        </w:rPr>
        <w:t>Memória de Cálculo</w:t>
      </w:r>
    </w:p>
    <w:p>
      <w:pPr>
        <w:spacing w:after="120"/>
      </w:pPr>
      <w:r>
        <w:rPr>
          <w:b/>
          <w:i w:val="0"/>
          <w:sz w:val="26"/>
        </w:rPr>
        <w:t>Gráfico de Rentabilidade Diária — Análise da Carteira</w:t>
      </w:r>
    </w:p>
    <w:p>
      <w:pPr>
        <w:spacing w:after="280"/>
      </w:pPr>
      <w:r>
        <w:rPr>
          <w:b w:val="0"/>
          <w:i/>
          <w:color w:val="555555"/>
          <w:sz w:val="20"/>
        </w:rPr>
        <w:t>MyFinance · Documento explicativo (linguagem de negócio) · Atualizado em 15/06/2026</w:t>
      </w:r>
    </w:p>
    <w:p>
      <w:pPr>
        <w:spacing w:after="280"/>
      </w:pPr>
      <w:r>
        <w:rPr>
          <w:b w:val="0"/>
          <w:i/>
          <w:color w:val="555555"/>
          <w:sz w:val="20"/>
        </w:rPr>
        <w:t>O que este documento explica: de onde vem cada número do gráfico de rentabilidade diária da seção de Análises e por que ele é calculado daquele jeito. Cobre a linha da própria carteira e as quatro linhas de comparação (IBOV, CDI, IPCA e Poupança). Linguagem de negócio, sem código.</w:t>
      </w:r>
    </w:p>
    <w:p>
      <w:pPr>
        <w:pStyle w:val="Heading1"/>
      </w:pPr>
      <w:r>
        <w:rPr>
          <w:color w:val="1F335E"/>
        </w:rPr>
        <w:t>1. O que o gráfico mostra</w:t>
      </w:r>
    </w:p>
    <w:p>
      <w:pPr>
        <w:spacing w:after="120"/>
      </w:pPr>
      <w:r>
        <w:rPr>
          <w:b w:val="0"/>
          <w:i w:val="0"/>
        </w:rPr>
        <w:t>Todas as linhas do gráfico representam rentabilidade acumulada em %, começando em 0% no primeiro dia do período e subindo ou descendo conforme o desempenho.</w:t>
      </w:r>
    </w:p>
    <w:p>
      <w:pPr>
        <w:pStyle w:val="ListBullet"/>
      </w:pPr>
      <w:r>
        <w:t>A linha da carteira mostra quanto o seu dinheiro rendeu (preço dos ativos + renda recebida), neutralizando o efeito de quando você aportou ou resgatou.</w:t>
      </w:r>
    </w:p>
    <w:p>
      <w:pPr>
        <w:pStyle w:val="ListBullet"/>
      </w:pPr>
      <w:r>
        <w:t>As linhas de IBOV, CDI, IPCA e Poupança são réguas de comparação: “se eu tivesse seguido esse índice no mesmo período, teria rendido X%”.</w:t>
      </w:r>
    </w:p>
    <w:p>
      <w:pPr>
        <w:spacing w:after="120"/>
      </w:pPr>
      <w:r>
        <w:rPr>
          <w:b w:val="0"/>
          <w:i w:val="0"/>
        </w:rPr>
        <w:t>Por começarem todas em zero no mesmo dia, é possível comparar visualmente “ganhei do CDI?”, “acompanhei o IBOV?” etc.</w:t>
      </w:r>
    </w:p>
    <w:p>
      <w:pPr>
        <w:pStyle w:val="Heading1"/>
      </w:pPr>
      <w:r>
        <w:rPr>
          <w:color w:val="1F335E"/>
        </w:rPr>
        <w:t>2. A linha da carteira</w:t>
      </w:r>
    </w:p>
    <w:p>
      <w:pPr>
        <w:pStyle w:val="Heading2"/>
      </w:pPr>
      <w:r>
        <w:rPr>
          <w:color w:val="1F335E"/>
        </w:rPr>
        <w:t>2.1 A ideia central: retorno total, ajustado pelo tempo</w:t>
      </w:r>
    </w:p>
    <w:p>
      <w:pPr>
        <w:spacing w:after="120"/>
      </w:pPr>
      <w:r>
        <w:rPr>
          <w:b w:val="0"/>
          <w:i w:val="0"/>
        </w:rPr>
        <w:t>A carteira é medida por TWR (Time-Weighted Return — retorno ponderado pelo tempo). É a mesma metodologia usada pelo Kinvo e pela indústria de fundos.</w:t>
      </w:r>
    </w:p>
    <w:p>
      <w:pPr>
        <w:spacing w:after="120"/>
      </w:pPr>
      <w:r>
        <w:rPr>
          <w:b w:val="0"/>
          <w:i w:val="0"/>
        </w:rPr>
        <w:t>O TWR responde à pergunta: “quão bem os meus investimentos performaram?” — e não “quanto dinheiro eu tenho a mais”. A diferença importa:</w:t>
      </w:r>
    </w:p>
    <w:p>
      <w:pPr>
        <w:pStyle w:val="ListBullet"/>
      </w:pPr>
      <w:r>
        <w:t>Se você aporta um valor grande hoje e a carteira cai amanhã, o TWR quase não se mexe, porque o dinheiro novo ainda não teve tempo de render.</w:t>
      </w:r>
    </w:p>
    <w:p>
      <w:pPr>
        <w:pStyle w:val="ListBullet"/>
      </w:pPr>
      <w:r>
        <w:t>O TWR isola o desempenho dos ativos do tamanho e do momento dos seus aportes.</w:t>
      </w:r>
    </w:p>
    <w:p>
      <w:pPr>
        <w:spacing w:after="120"/>
      </w:pPr>
      <w:r>
        <w:rPr>
          <w:b w:val="0"/>
          <w:i w:val="0"/>
        </w:rPr>
        <w:t>Isso é o que permite comparar de forma justa com IBOV/CDI: estamos comparando qualidade de desempenho, não volume de aporte.</w:t>
      </w:r>
    </w:p>
    <w:p>
      <w:pPr>
        <w:pStyle w:val="Heading2"/>
      </w:pPr>
      <w:r>
        <w:rPr>
          <w:color w:val="1F335E"/>
        </w:rPr>
        <w:t>2.2 Como cada dia é calculado, em termos simples</w:t>
      </w:r>
    </w:p>
    <w:p>
      <w:pPr>
        <w:spacing w:after="120"/>
      </w:pPr>
      <w:r>
        <w:rPr>
          <w:b w:val="0"/>
          <w:i w:val="0"/>
        </w:rPr>
        <w:t>Para cada dia útil da B3, o sistema calcula o valor total da carteira (“saldo bruto”):</w:t>
      </w:r>
    </w:p>
    <w:p>
      <w:pPr>
        <w:spacing w:after="120"/>
      </w:pPr>
      <w:r>
        <w:rPr>
          <w:b w:val="0"/>
          <w:i/>
          <w:color w:val="555555"/>
        </w:rPr>
        <w:t>Saldo do dia  =  valor de mercado dos ativos  +  caixa (dinheiro não investido)  +  proventos já recebidos (acumulados)</w:t>
      </w:r>
    </w:p>
    <w:p>
      <w:pPr>
        <w:spacing w:after="120"/>
      </w:pPr>
      <w:r>
        <w:rPr>
          <w:b w:val="0"/>
          <w:i w:val="0"/>
        </w:rPr>
        <w:t>A partir daí, mede-se quanto a carteira rendeu de um dia para o outro, descontando o que entrou ou saiu de dinheiro novo naquele dia (aportes e resgates). Esse rendimento diário é encadeado dia após dia, formando a curva acumulada.</w:t>
      </w:r>
    </w:p>
    <w:p>
      <w:pPr>
        <w:spacing w:after="160"/>
        <w:ind w:left="288"/>
      </w:pPr>
      <w:r>
        <w:rPr>
          <w:i/>
          <w:color w:val="555555"/>
          <w:sz w:val="21"/>
        </w:rPr>
        <w:t>▶  Por quê descontar aportes/resgates? Porque dinheiro que você depositou não é “rendimento” — é capital novo. Se não descontasse, um aporte grande pareceria, falsamente, uma valorização enorme da carteira.</w:t>
      </w:r>
    </w:p>
    <w:p>
      <w:pPr>
        <w:pStyle w:val="Heading2"/>
      </w:pPr>
      <w:r>
        <w:rPr>
          <w:color w:val="1F335E"/>
        </w:rPr>
        <w:t>2.3 De onde vem cada componente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 onde vem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Quantidade de cada ativo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Reconstruída do histórico de compras e vendas, já considerando splits, grupamentos e bonificações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Mantém a quantidade do passado na mesma escala de hoje, senão o gráfico daria saltos artificiais na data do split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Preço de mercado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Histórico de preços (B3 / BRAPI / Yahoo, nessa prioridade), já ajustado por splits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É o valor real pelo qual o ativo era negociado naquele 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Caixa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Aportes e resgates registrados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Representa dinheiro disponível ainda não aplicado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Proventos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Histórico de dividendos/JCP/rendimentos por ativo, com ajuste manual possível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Conta como renda recebida (ver 2.4)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Renda fixa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Valor corrigido pela taxa contratada (CDI, IPCA, prefixado ou PU do Tesouro)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Renda fixa não tem cotação de bolsa; o valor vem da rentabilidade contratada (ver 2.5)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35E"/>
        </w:rPr>
        <w:t>2.4 Como os proventos entram (ponto sensível)</w:t>
      </w:r>
    </w:p>
    <w:p>
      <w:pPr>
        <w:spacing w:after="120"/>
      </w:pPr>
      <w:r>
        <w:rPr>
          <w:b w:val="0"/>
          <w:i w:val="0"/>
        </w:rPr>
        <w:t>Proventos (dividendos, JCP, rendimentos de FII) entram como retorno, não como saque:</w:t>
      </w:r>
    </w:p>
    <w:p>
      <w:pPr>
        <w:pStyle w:val="ListBullet"/>
      </w:pPr>
      <w:r>
        <w:t>Eles somam ao desempenho da carteira (você recebeu renda).</w:t>
      </w:r>
    </w:p>
    <w:p>
      <w:pPr>
        <w:pStyle w:val="ListBullet"/>
      </w:pPr>
      <w:r>
        <w:t>Eles não reduzem o saldo nem contam como aporte.</w:t>
      </w:r>
    </w:p>
    <w:p>
      <w:pPr>
        <w:spacing w:after="120"/>
      </w:pPr>
      <w:r>
        <w:rPr>
          <w:b w:val="0"/>
          <w:i w:val="0"/>
        </w:rPr>
        <w:t>Quando o provento é creditado na curva: na data de pagamento (ajustada para o próximo pregão), não na data-ex. Essa escolha é deliberada para espelhar o Kinvo — é o que faz a renda acumulada bater praticamente centavo a centavo com a plataforma de referência.</w:t>
      </w:r>
    </w:p>
    <w:p>
      <w:pPr>
        <w:spacing w:after="120"/>
      </w:pPr>
      <w:r>
        <w:rPr>
          <w:b w:val="0"/>
          <w:i w:val="0"/>
        </w:rPr>
        <w:t>Para JCP, o valor creditado já é líquido de IRRF (imposto retido na fonte); dividendos são isentos e entram cheios.</w:t>
      </w:r>
    </w:p>
    <w:p>
      <w:pPr>
        <w:spacing w:after="160"/>
        <w:ind w:left="288"/>
      </w:pPr>
      <w:r>
        <w:rPr>
          <w:i/>
          <w:color w:val="555555"/>
          <w:sz w:val="21"/>
        </w:rPr>
        <w:t>▶  Reinvestimento de proventos não é tratado como aporte novo. Se você usou um dividendo para comprar mais ações, isso não infla o TWR — o dinheiro já estava dentro da carteira.</w:t>
      </w:r>
    </w:p>
    <w:p>
      <w:pPr>
        <w:pStyle w:val="Heading2"/>
      </w:pPr>
      <w:r>
        <w:rPr>
          <w:color w:val="1F335E"/>
        </w:rPr>
        <w:t>2.5 Renda fixa</w:t>
      </w:r>
    </w:p>
    <w:p>
      <w:pPr>
        <w:spacing w:after="120"/>
      </w:pPr>
      <w:r>
        <w:rPr>
          <w:b w:val="0"/>
          <w:i w:val="0"/>
        </w:rPr>
        <w:t>Ativos de renda fixa (CDB, LCI/LCA, Tesouro) não têm preço de bolsa diário. O valor de cada dia é calculado pela rentabilidade contratada:</w:t>
      </w:r>
    </w:p>
    <w:p>
      <w:pPr>
        <w:pStyle w:val="ListBullet"/>
      </w:pPr>
      <w:r>
        <w:t>Prefixado: aplica a taxa anual proporcionalmente a cada dia útil.</w:t>
      </w:r>
    </w:p>
    <w:p>
      <w:pPr>
        <w:pStyle w:val="ListBullet"/>
      </w:pPr>
      <w:r>
        <w:t>Pós-fixado (% do CDI): corrige pelo CDI do dia (taxa publicada pelo Banco Central).</w:t>
      </w:r>
    </w:p>
    <w:p>
      <w:pPr>
        <w:pStyle w:val="ListBullet"/>
      </w:pPr>
      <w:r>
        <w:t>IPCA+: aplica a parte prefixada diariamente e incorpora o IPCA ao virar o mês.</w:t>
      </w:r>
    </w:p>
    <w:p>
      <w:pPr>
        <w:pStyle w:val="ListBullet"/>
      </w:pPr>
      <w:r>
        <w:t>Tesouro Direto: usa o preço unitário (PU) oficial divulgado.</w:t>
      </w:r>
    </w:p>
    <w:p>
      <w:pPr>
        <w:pStyle w:val="Heading2"/>
      </w:pPr>
      <w:r>
        <w:rPr>
          <w:color w:val="1F335E"/>
        </w:rPr>
        <w:t>2.6 De onde o sistema lê tudo isso (rápido vs. reconstrução)</w:t>
      </w:r>
    </w:p>
    <w:p>
      <w:pPr>
        <w:spacing w:after="120"/>
      </w:pPr>
      <w:r>
        <w:rPr>
          <w:b w:val="0"/>
          <w:i w:val="0"/>
        </w:rPr>
        <w:t>Existem dois caminhos para montar a série, e o resultado é o mesmo:</w:t>
      </w:r>
    </w:p>
    <w:p>
      <w:pPr>
        <w:pStyle w:val="ListBullet"/>
      </w:pPr>
      <w:r>
        <w:t>Caminho rápido (padrão): lê fotografias diárias já calculadas e guardadas no banco (atualizadas por uma rotina automática diária). É o que acontece na maioria dos acessos.</w:t>
      </w:r>
    </w:p>
    <w:p>
      <w:pPr>
        <w:pStyle w:val="ListBullet"/>
      </w:pPr>
      <w:r>
        <w:t>Caminho de reconstrução (fallback): quando não há fotografias suficientes (usuário novo, ou a rotina ainda não cobriu o período), o sistema recalcula tudo ao vivo a partir das transações, eventos, preços e proventos.</w:t>
      </w:r>
    </w:p>
    <w:p>
      <w:pPr>
        <w:spacing w:after="120"/>
      </w:pPr>
      <w:r>
        <w:rPr>
          <w:b w:val="0"/>
          <w:i w:val="0"/>
        </w:rPr>
        <w:t>O sistema decide sozinho qual usar, e cai no fallback de forma transparente quando detecta lacunas no histórico salvo.</w:t>
      </w:r>
    </w:p>
    <w:p>
      <w:pPr>
        <w:pStyle w:val="Heading1"/>
      </w:pPr>
      <w:r>
        <w:rPr>
          <w:color w:val="1F335E"/>
        </w:rPr>
        <w:t>3. As linhas de comparação (benchmarks)</w:t>
      </w:r>
    </w:p>
    <w:p>
      <w:pPr>
        <w:spacing w:after="120"/>
      </w:pPr>
      <w:r>
        <w:rPr>
          <w:b w:val="0"/>
          <w:i w:val="0"/>
        </w:rPr>
        <w:t>Todas começam em 0% no mesmo dia da carteira e mostram rentabilidade acumulada, para comparação direta.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Benchmark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que 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Fonte oficial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Frequência do dado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IBOV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Índice da bolsa brasileira (B3)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Cotação do Ibovespa (Yahoo Finance / BRAPI)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Diária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Referência da renda fixa pós-fixada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Banco Central (série diária)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Diária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IPCA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Inflação oficial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Banco Central (série mensal)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Mensal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Poupança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Rendimento da caderneta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Banco Central (série mensal)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Mensal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35E"/>
        </w:rPr>
        <w:t>3.1 Como cada um vira uma curva diária</w:t>
      </w:r>
    </w:p>
    <w:p>
      <w:pPr>
        <w:pStyle w:val="ListBullet"/>
      </w:pPr>
      <w:r>
        <w:t>IBOV: já é um número diário. A rentabilidade é quanto o índice subiu ou caiu em relação ao primeiro dia. Em fins de semana e feriados, repete-se o último valor disponível.</w:t>
      </w:r>
    </w:p>
    <w:p>
      <w:pPr>
        <w:pStyle w:val="ListBullet"/>
      </w:pPr>
      <w:r>
        <w:t>CDI: o Banco Central publica a taxa de cada dia. O sistema acumula essas taxas dia a dia (“juros sobre juros”) para formar a curva.</w:t>
      </w:r>
    </w:p>
    <w:p>
      <w:pPr>
        <w:pStyle w:val="ListBullet"/>
      </w:pPr>
      <w:r>
        <w:t>IPCA e Poupança: o Banco Central só publica valores mensais. O sistema acumula mês a mês e distribui de forma suave ao longo dos dias para desenhar uma linha contínua (tecnicamente, interpolação geométrica — ver Apêndice B.3).</w:t>
      </w:r>
    </w:p>
    <w:p>
      <w:pPr>
        <w:spacing w:after="160"/>
        <w:ind w:left="288"/>
      </w:pPr>
      <w:r>
        <w:rPr>
          <w:i/>
          <w:color w:val="555555"/>
          <w:sz w:val="21"/>
        </w:rPr>
        <w:t>▶  Interpretação importante: como IPCA e Poupança são mensais “esticados” em linha reta, a oscilação diária dessas duas linhas não é dado real diário — é uma aproximação visual entre pontos mensais. A comparação justa é de tendência ao longo de semanas/meses, não do solavanco de um único dia.</w:t>
      </w:r>
    </w:p>
    <w:p>
      <w:pPr>
        <w:pStyle w:val="Heading2"/>
      </w:pPr>
      <w:r>
        <w:rPr>
          <w:color w:val="1F335E"/>
        </w:rPr>
        <w:t>3.2 De onde o sistema lê os benchmarks</w:t>
      </w:r>
    </w:p>
    <w:p>
      <w:pPr>
        <w:spacing w:after="120"/>
      </w:pPr>
      <w:r>
        <w:rPr>
          <w:b w:val="0"/>
          <w:i w:val="0"/>
        </w:rPr>
        <w:t>Mesma lógica de dois caminhos da carteira, para não depender de internet a cada acesso:</w:t>
      </w:r>
    </w:p>
    <w:p>
      <w:pPr>
        <w:pStyle w:val="ListBullet"/>
      </w:pPr>
      <w:r>
        <w:t>Primeiro: valores já calculados e guardados no banco (pré-carregados).</w:t>
      </w:r>
    </w:p>
    <w:p>
      <w:pPr>
        <w:pStyle w:val="ListBullet"/>
      </w:pPr>
      <w:r>
        <w:t>Se faltar algum: busca direto na fonte oficial (Banco Central para CDI/IPCA/Poupança; Yahoo/BRAPI para o IBOV) e guarda para os próximos acessos.</w:t>
      </w:r>
    </w:p>
    <w:p>
      <w:pPr>
        <w:spacing w:after="120"/>
      </w:pPr>
      <w:r>
        <w:rPr>
          <w:b w:val="0"/>
          <w:i w:val="0"/>
        </w:rPr>
        <w:t>Os valores ficam em cache por até 24 horas quando os quatro benchmarks estão completos (1 hora se algum estiver faltando), para equilibrar atualidade e desempenho.</w:t>
      </w:r>
    </w:p>
    <w:p>
      <w:pPr>
        <w:pStyle w:val="Heading1"/>
      </w:pPr>
      <w:r>
        <w:rPr>
          <w:color w:val="1F335E"/>
        </w:rPr>
        <w:t>4. Resumo de uma frase por linha</w:t>
      </w:r>
    </w:p>
    <w:p>
      <w:pPr>
        <w:pStyle w:val="ListBullet"/>
      </w:pPr>
      <w:r>
        <w:t>Carteira: retorno total (preço dos ativos + proventos recebidos), medido por TWR para isolar desempenho do efeito dos aportes — proventos creditados na data de pagamento, igual ao Kinvo.</w:t>
      </w:r>
    </w:p>
    <w:p>
      <w:pPr>
        <w:pStyle w:val="ListBullet"/>
      </w:pPr>
      <w:r>
        <w:t>IBOV: variação acumulada do índice da bolsa, dado diário real.</w:t>
      </w:r>
    </w:p>
    <w:p>
      <w:pPr>
        <w:pStyle w:val="ListBullet"/>
      </w:pPr>
      <w:r>
        <w:t>CDI: juros diários do Banco Central acumulados (juros sobre juros).</w:t>
      </w:r>
    </w:p>
    <w:p>
      <w:pPr>
        <w:pStyle w:val="ListBullet"/>
      </w:pPr>
      <w:r>
        <w:t>IPCA: inflação mensal oficial, acumulada e suavizada em linha diária.</w:t>
      </w:r>
    </w:p>
    <w:p>
      <w:pPr>
        <w:pStyle w:val="ListBullet"/>
      </w:pPr>
      <w:r>
        <w:t>Poupança: rendimento mensal da caderneta, acumulado e suavizado em linha diária.</w:t>
      </w:r>
    </w:p>
    <w:p>
      <w:pPr>
        <w:pStyle w:val="Heading1"/>
      </w:pPr>
      <w:r>
        <w:rPr>
          <w:color w:val="1F335E"/>
        </w:rPr>
        <w:t>5. Cuidados e limitações conhecidas</w:t>
      </w:r>
    </w:p>
    <w:p>
      <w:pPr>
        <w:pStyle w:val="ListBullet"/>
      </w:pPr>
      <w:r>
        <w:t>IPCA e Poupança são mensais interpolados — não há precisão diária nessas curvas (ver 3.1).</w:t>
      </w:r>
    </w:p>
    <w:p>
      <w:pPr>
        <w:pStyle w:val="ListBullet"/>
      </w:pPr>
      <w:r>
        <w:t>A carteira depende da qualidade dos dados de origem — preços de mercado, datas de proventos e eventos corporativos (splits). Erros de cadastro se propagam ao gráfico.</w:t>
      </w:r>
    </w:p>
    <w:p>
      <w:pPr>
        <w:pStyle w:val="ListBullet"/>
      </w:pPr>
      <w:r>
        <w:t>Variações diárias muito grandes (acima de ±50% num único dia) são tratadas como ruído de dado e neutralizadas, para evitar que um erro de preço pontual distorça a curva inteira.</w:t>
      </w:r>
    </w:p>
    <w:p>
      <w:pPr>
        <w:pStyle w:val="ListBullet"/>
      </w:pPr>
      <w:r>
        <w:t>Pequenas diferenças residuais vs. Kinvo podem existir por diferenças de metodologia fina (ancoragem do primeiro dia, arredondamentos), mesmo com a renda acumulada batendo.</w:t>
      </w:r>
    </w:p>
    <w:p>
      <w:r>
        <w:br w:type="page"/>
      </w:r>
    </w:p>
    <w:p>
      <w:pPr>
        <w:pStyle w:val="Heading1"/>
      </w:pPr>
      <w:r>
        <w:rPr>
          <w:color w:val="1F335E"/>
        </w:rPr>
        <w:t>Apêndice Técnico — Verificação</w:t>
      </w:r>
    </w:p>
    <w:p>
      <w:pPr>
        <w:spacing w:after="240"/>
      </w:pPr>
      <w:r>
        <w:rPr>
          <w:b w:val="0"/>
          <w:i/>
          <w:color w:val="555555"/>
          <w:sz w:val="20"/>
        </w:rPr>
        <w:t>Esta seção é o material de auditoria. Traz as fórmulas exatas, os parâmetros/convenções e uma carteira-brinquedo calculada dia a dia, para que um consultor externo reproduza os números numa planilha e confirme que o sistema está correto. Os valores foram escolhidos para fechar em números redondos, facilitando a conferência manual.</w:t>
      </w:r>
    </w:p>
    <w:p>
      <w:pPr>
        <w:pStyle w:val="Heading2"/>
      </w:pPr>
      <w:r>
        <w:rPr>
          <w:color w:val="1F335E"/>
        </w:rPr>
        <w:t>A. Parâmetros, fontes e convenções (exatos)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 / Convenção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Calendário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Dias úteis B3 (seg–sex, exceto feriados nacionais B3). Ancoragem em UTC.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Datas de transação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Fim de semana/feriado é empurrado para o próximo pregão (D+próximo útil).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Base do gráfico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Primeiro dia do período = 0% (rentabilidade acumulada).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Métrica da carteira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TWR (Time-Weighted Return), encadeamento multiplicativo diário.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Clamp do retorno diário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|retorno do dia| &gt; 50% → tratado como 0 (ruído de dado).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Clamp do dia 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Ganho instantâneo permitido até ±100%; fora disso → 0.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Arredondamento exibido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 casas decimais no %. O acumulado interno usa precisão cheia.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Renda fixa — dias/ano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252 dias úteis (fator prefixado diário).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Proventos — crédito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Data de PAGAMENTO, ajustada para o próximo pregão B3.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IRRF dividendos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0% (isento) — entra cheio.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IRRF JCP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15% até 31/12/2025; 17,5% a partir de 01/01/2026.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IBOV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Ticker ^BVSP (Yahoo Finance / BRAPI), cotação diária.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BACEN SGS série 12 (taxa diária, em decimal).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IPCA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BACEN SGS série 433 (taxa mensal).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Poupança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BACEN SGS série 25 (taxa mensal).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35E"/>
        </w:rPr>
        <w:t>B. Fórmulas exatas</w:t>
      </w:r>
    </w:p>
    <w:p>
      <w:pPr>
        <w:pStyle w:val="Heading3"/>
      </w:pPr>
      <w:r>
        <w:rPr>
          <w:color w:val="1F335E"/>
        </w:rPr>
        <w:t>B.1 Saldo bruto diário (valor total da carteira)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saldo_bruto(d) = Σ_i [ qtd_i(d) × preço_i(d) ]</w:t>
      </w:r>
      <w:r>
        <w:br/>
      </w:r>
      <w:r>
        <w:rPr>
          <w:rFonts w:ascii="Consolas" w:hAnsi="Consolas"/>
          <w:color w:val="1F335E"/>
          <w:sz w:val="19"/>
        </w:rPr>
        <w:t xml:space="preserve">              + caixa(d)</w:t>
      </w:r>
      <w:r>
        <w:br/>
      </w:r>
      <w:r>
        <w:rPr>
          <w:rFonts w:ascii="Consolas" w:hAnsi="Consolas"/>
          <w:color w:val="1F335E"/>
          <w:sz w:val="19"/>
        </w:rPr>
        <w:t xml:space="preserve">              + proventos_acumulados(d)</w:t>
      </w:r>
      <w:r>
        <w:br/>
      </w:r>
      <w:r>
        <w:rPr>
          <w:rFonts w:ascii="Consolas" w:hAnsi="Consolas"/>
          <w:color w:val="1F335E"/>
          <w:sz w:val="19"/>
        </w:rPr>
        <w:t xml:space="preserve">              + Σ_rf [ aplicado_rf × fator_rf(d) ]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qtd_i(d) já considera splits/grupamentos (ver B.6). preço_i(d) é o preço de mercado ajustado por splits. proventos_acumulados(d) é a soma líquida de todos os proventos creditados até o dia d (ver B.5). fator_rf(d) é o fator de renda fixa (ver B.4).</w:t>
      </w:r>
    </w:p>
    <w:p>
      <w:pPr>
        <w:pStyle w:val="Heading3"/>
      </w:pPr>
      <w:r>
        <w:rPr>
          <w:color w:val="1F335E"/>
        </w:rPr>
        <w:t>B.2 Retorno diário (TWR) e encadeamento</w:t>
      </w:r>
    </w:p>
    <w:p>
      <w:pPr>
        <w:spacing w:after="120"/>
      </w:pPr>
      <w:r>
        <w:rPr>
          <w:b w:val="0"/>
          <w:i w:val="0"/>
        </w:rPr>
        <w:t>Para cada dia d (a partir do 2º ponto da série):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retorno(d) = ( saldo_bruto(d) − saldo_bruto(d−1) − fluxo(d) ) / saldo_bruto(d−1)</w:t>
      </w:r>
      <w:r>
        <w:br/>
      </w:r>
      <w:r>
        <w:rPr>
          <w:rFonts w:ascii="Consolas" w:hAnsi="Consolas"/>
          <w:color w:val="1F335E"/>
          <w:sz w:val="19"/>
        </w:rPr>
      </w:r>
      <w:r>
        <w:br/>
      </w:r>
      <w:r>
        <w:rPr>
          <w:rFonts w:ascii="Consolas" w:hAnsi="Consolas"/>
          <w:color w:val="1F335E"/>
          <w:sz w:val="19"/>
        </w:rPr>
        <w:t>se |retorno(d)| &gt; 0,50  →  retorno(d) = 0      (clamp anti-ruído)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fluxo(d) = aportes − resgates do dia d (dinheiro novo). Proventos NÃO entram em fluxo(d). Reinvestimentos de proventos NÃO entram em fluxo(d).</w:t>
      </w:r>
    </w:p>
    <w:p>
      <w:pPr>
        <w:spacing w:after="120"/>
      </w:pPr>
      <w:r>
        <w:rPr>
          <w:b w:val="0"/>
          <w:i w:val="0"/>
        </w:rPr>
        <w:t>Primeiro ponto da série (dia 0), quando há aporte inicial: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retorno(0) = ( saldo_bruto(0) − fluxo(0) ) / fluxo(0)     (clamp ±100%)</w:t>
      </w:r>
      <w:r>
        <w:br/>
      </w:r>
      <w:r>
        <w:rPr>
          <w:rFonts w:ascii="Consolas" w:hAnsi="Consolas"/>
          <w:color w:val="1F335E"/>
          <w:sz w:val="19"/>
        </w:rPr>
        <w:t>Se o preço pago = preço de mercado no dia, então retorno(0) = 0.</w:t>
      </w:r>
    </w:p>
    <w:p>
      <w:pPr>
        <w:spacing w:after="120"/>
      </w:pPr>
      <w:r>
        <w:rPr>
          <w:b w:val="0"/>
          <w:i w:val="0"/>
        </w:rPr>
        <w:t>Encadeamento (produtório) e valor exibido: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acumulado(d) = Π_{k=0..d} ( 1 + retorno(k) )</w:t>
      </w:r>
      <w:r>
        <w:br/>
      </w:r>
      <w:r>
        <w:rPr>
          <w:rFonts w:ascii="Consolas" w:hAnsi="Consolas"/>
          <w:color w:val="1F335E"/>
          <w:sz w:val="19"/>
        </w:rPr>
        <w:t>valor_no_gráfico(d) = ( acumulado(d) − 1 ) × 100   [%]</w:t>
      </w:r>
    </w:p>
    <w:p>
      <w:pPr>
        <w:pStyle w:val="Heading3"/>
      </w:pPr>
      <w:r>
        <w:rPr>
          <w:color w:val="1F335E"/>
        </w:rPr>
        <w:t>B.3 Benchmarks</w:t>
      </w:r>
    </w:p>
    <w:p>
      <w:pPr>
        <w:spacing w:after="120"/>
      </w:pPr>
      <w:r>
        <w:rPr>
          <w:b w:val="0"/>
          <w:i w:val="0"/>
        </w:rPr>
        <w:t>Rebaseamento de qualquer série de índice para começar em 0% no início do período: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valor(d) = ( índice(d) / índice(base) − 1 ) × 100</w:t>
      </w:r>
    </w:p>
    <w:p>
      <w:pPr>
        <w:spacing w:after="120"/>
      </w:pPr>
      <w:r>
        <w:rPr>
          <w:b w:val="0"/>
          <w:i w:val="0"/>
        </w:rPr>
        <w:t>CDI — compõe a taxa diária do BACEN (decimal), apenas nos dias publicados: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índice(0) = 100</w:t>
      </w:r>
      <w:r>
        <w:br/>
      </w:r>
      <w:r>
        <w:rPr>
          <w:rFonts w:ascii="Consolas" w:hAnsi="Consolas"/>
          <w:color w:val="1F335E"/>
          <w:sz w:val="19"/>
        </w:rPr>
        <w:t>índice(d) = índice(d−1) × ( 1 + taxa_cdi(d) )   [só em dia com publicação]</w:t>
      </w:r>
    </w:p>
    <w:p>
      <w:pPr>
        <w:spacing w:after="120"/>
      </w:pPr>
      <w:r>
        <w:rPr>
          <w:b w:val="0"/>
          <w:i w:val="0"/>
        </w:rPr>
        <w:t>IPCA e Poupança — índice mensal e interpolação diária geométrica: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Índice mensal:  I(mês+1) = I(mês) × ( 1 + taxa_mensal/100 ),   I(0)=100</w:t>
      </w:r>
      <w:r>
        <w:br/>
      </w:r>
      <w:r>
        <w:rPr>
          <w:rFonts w:ascii="Consolas" w:hAnsi="Consolas"/>
          <w:color w:val="1F335E"/>
          <w:sz w:val="19"/>
        </w:rPr>
      </w:r>
      <w:r>
        <w:br/>
      </w:r>
      <w:r>
        <w:rPr>
          <w:rFonts w:ascii="Consolas" w:hAnsi="Consolas"/>
          <w:color w:val="1F335E"/>
          <w:sz w:val="19"/>
        </w:rPr>
        <w:t>Fator diário:   f = ( I(próx. mês) / I(mês) ) ^ ( 1 / dias_do_mês )</w:t>
      </w:r>
      <w:r>
        <w:br/>
      </w:r>
      <w:r>
        <w:rPr>
          <w:rFonts w:ascii="Consolas" w:hAnsi="Consolas"/>
          <w:color w:val="1F335E"/>
          <w:sz w:val="19"/>
        </w:rPr>
        <w:t>Valor do dia k: I(mês) × f^k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Observação: a interpolação é GEOMÉTRICA (fator diário constante), não estritamente linear. Entre dois meses próximos a curva parece quase reta, mas tecnicamente é geométrica. O corpo deste documento chama isso de “suave” por simplicidade.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IBOV — é cotação diária real; aplica-se diretamente o rebaseamento acima. Fins de semana/feriados repetem o último valor disponível.</w:t>
      </w:r>
    </w:p>
    <w:p>
      <w:pPr>
        <w:pStyle w:val="Heading3"/>
      </w:pPr>
      <w:r>
        <w:rPr>
          <w:color w:val="1F335E"/>
        </w:rPr>
        <w:t>B.4 Renda fixa — fator diário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Prefixado (PRE):  fator ×= (1 + taxa_anual) ^ (1/252)   [por dia útil, a partir de D+1]</w:t>
      </w:r>
      <w:r>
        <w:br/>
      </w:r>
      <w:r>
        <w:rPr>
          <w:rFonts w:ascii="Consolas" w:hAnsi="Consolas"/>
          <w:color w:val="1F335E"/>
          <w:sz w:val="19"/>
        </w:rPr>
        <w:t>Pós (% do CDI):   fator ×= 1 + taxa_cdi(d) × percentual  [dia publicado, a partir de D+0]</w:t>
      </w:r>
      <w:r>
        <w:br/>
      </w:r>
      <w:r>
        <w:rPr>
          <w:rFonts w:ascii="Consolas" w:hAnsi="Consolas"/>
          <w:color w:val="1F335E"/>
          <w:sz w:val="19"/>
        </w:rPr>
        <w:t>IPCA+:            perna prefixada diária + IPCA aplicado ao virar o mês</w:t>
      </w:r>
      <w:r>
        <w:br/>
      </w:r>
      <w:r>
        <w:rPr>
          <w:rFonts w:ascii="Consolas" w:hAnsi="Consolas"/>
          <w:color w:val="1F335E"/>
          <w:sz w:val="19"/>
        </w:rPr>
        <w:t>Tesouro Direto:   fator = PU(d) / PU(aplicação)</w:t>
      </w:r>
    </w:p>
    <w:p>
      <w:pPr>
        <w:pStyle w:val="Heading3"/>
      </w:pPr>
      <w:r>
        <w:rPr>
          <w:color w:val="1F335E"/>
        </w:rPr>
        <w:t>B.5 Proventos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provento_líquido = qtd_na_data_ex × valor_unitário × (1 − IRRF)</w:t>
      </w:r>
      <w:r>
        <w:br/>
      </w:r>
      <w:r>
        <w:rPr>
          <w:rFonts w:ascii="Consolas" w:hAnsi="Consolas"/>
          <w:color w:val="1F335E"/>
          <w:sz w:val="19"/>
        </w:rPr>
      </w:r>
      <w:r>
        <w:br/>
      </w:r>
      <w:r>
        <w:rPr>
          <w:rFonts w:ascii="Consolas" w:hAnsi="Consolas"/>
          <w:color w:val="1F335E"/>
          <w:sz w:val="19"/>
        </w:rPr>
        <w:t>dia de crédito = próximo pregão B3 a partir da data de PAGAMENTO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Dividendos: IRRF = 0%. JCP: IRRF = 15% (até 31/12/2025) ou 17,5% (a partir de 01/01/2026). O valor líquido entra em proventos_acumulados — soma ao retorno, não ao fluxo de caixa.</w:t>
      </w:r>
    </w:p>
    <w:p>
      <w:pPr>
        <w:pStyle w:val="Heading3"/>
      </w:pPr>
      <w:r>
        <w:rPr>
          <w:color w:val="1F335E"/>
        </w:rPr>
        <w:t>B.6 Eventos corporativos (split / grupamento / bonificação)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qtd_após_evento = qtd_antes × fator</w:t>
      </w:r>
      <w:r>
        <w:br/>
      </w:r>
      <w:r>
        <w:rPr>
          <w:rFonts w:ascii="Consolas" w:hAnsi="Consolas"/>
          <w:color w:val="1F335E"/>
          <w:sz w:val="19"/>
        </w:rPr>
        <w:t>preço_ajustado   = preço_bruto / fator   (custo total preservado)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Eventos são aplicados ANTES das transações do mesmo dia. O objetivo é manter o saldo bruto contínuo na data do split — sem isso, a queda de preço do split (ex.: pela metade num 2:1) seria lida como prejuízo de ~50%.</w:t>
      </w:r>
    </w:p>
    <w:p>
      <w:pPr>
        <w:pStyle w:val="Heading2"/>
      </w:pPr>
      <w:r>
        <w:rPr>
          <w:color w:val="1F335E"/>
        </w:rPr>
        <w:t>C. Carteira-brinquedo — dados de entrada</w:t>
      </w:r>
    </w:p>
    <w:p>
      <w:pPr>
        <w:spacing w:after="120"/>
      </w:pPr>
      <w:r>
        <w:rPr>
          <w:b w:val="0"/>
          <w:i w:val="0"/>
        </w:rPr>
        <w:t>Uma única ação fictícia (AAAA3), ao longo de 5 pregões (D0 a D4, seg a sex). Eventos escolhidos para exercitar cada regra: ganho de preço, aporte adicional, dividendo e split.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Preço de fecho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D0 (seg)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Compra de 100 ações a R$ 10,00 (aporte R$ 1.000,00)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R$ 10,00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D1 (ter)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Sem operação; ação valoriza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R$ 11,00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D2 (qua)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Aporte: compra +100 ações a R$ 11,00 (R$ 1.100,00)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R$ 11,00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D3 (qui)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Dividendo de R$ 0,50/ação sobre 200 ações (isento) = R$ 100,00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R$ 11,00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D4 (sex)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Split 2:1 (100→200... 200→400; preço cai p/ 5,50) e fecha a R$ 6,00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R$ 6,00 (pós-split)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35E"/>
        </w:rPr>
        <w:t>D. Carteira-brinquedo — cálculo dia a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0"/>
              </w:rPr>
              <w:t>Dia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Qtd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Preço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Saldo bruto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Fluxo (aporte)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Retorno do dia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Acumulado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D0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1.000,00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+1.000,00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(1000−1000)/1000 = 0,00%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0,00%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11,00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1.100,00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(1100−1000−0)/1000 = +10,00%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10,00%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11,00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2.200,00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+1.100,00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(2200−1100−1100)/1100 = 0,00%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10,00%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D3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11,00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2.300,00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(2300−2200−0)/2200 = +4,55%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15,00%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D4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2.500,00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(2500−2300−0)/2300 = +8,70%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25,00%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</w:rPr>
        <w:t>Leitura de cada dia:</w:t>
      </w:r>
    </w:p>
    <w:p>
      <w:pPr>
        <w:pStyle w:val="ListBullet"/>
      </w:pPr>
      <w:r>
        <w:t>D1 — valorização pura: o saldo sobe de 1.000 para 1.100 sem dinheiro novo → +10%.</w:t>
      </w:r>
    </w:p>
    <w:p>
      <w:pPr>
        <w:pStyle w:val="ListBullet"/>
      </w:pPr>
      <w:r>
        <w:t>D2 — neutralização do aporte: o saldo dobra (1.100→2.200), mas R$ 1.100 são dinheiro novo. Descontando o fluxo, o retorno do dia é 0%. O acumulado fica parado em 10%. É exatamente isto que o TWR existe para fazer.</w:t>
      </w:r>
    </w:p>
    <w:p>
      <w:pPr>
        <w:pStyle w:val="ListBullet"/>
      </w:pPr>
      <w:r>
        <w:t>D3 — provento como retorno: o dividendo de R$ 100 entra no saldo (2.200→2.300) mas NÃO é fluxo de caixa. Logo conta como rentabilidade: +4,55% no dia.</w:t>
      </w:r>
    </w:p>
    <w:p>
      <w:pPr>
        <w:pStyle w:val="ListBullet"/>
      </w:pPr>
      <w:r>
        <w:t>D4 — split sem ruído: a quantidade vai de 200 para 400 e o preço cai de 11,00 para 5,50 (puro ajuste de escala, saldo continua 2.200). O único movimento real é 5,50→6,00, equivalente a 11,00→12,00 antes do split: +9,09% no ativo, que leva o acumulado a 25%.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Saldo bruto em D4 = 400 × 6,00 + 100 (proventos acumulados) = 2.500,00.</w:t>
      </w:r>
    </w:p>
    <w:p>
      <w:pPr>
        <w:spacing w:after="160"/>
        <w:ind w:left="288"/>
      </w:pPr>
      <w:r>
        <w:rPr>
          <w:i/>
          <w:color w:val="555555"/>
          <w:sz w:val="21"/>
        </w:rPr>
        <w:t>▶  Conferência do encadeamento: 1,00 × 1,10 × 1,00 × (2300/2200) × (2500/2300) = 1,25 → acumulado final +25,00%. Os retornos diários de D3 e D4 aparecem arredondados na tabela, mas o acumulado usa precisão cheia e fecha exatamente em 15,00% e 25,00%.</w:t>
      </w:r>
    </w:p>
    <w:p>
      <w:pPr>
        <w:pStyle w:val="Heading2"/>
      </w:pPr>
      <w:r>
        <w:rPr>
          <w:color w:val="1F335E"/>
        </w:rPr>
        <w:t>E. Benchmarks — mesmos cinco dias (ilustração)</w:t>
      </w:r>
    </w:p>
    <w:p>
      <w:pPr>
        <w:spacing w:after="120"/>
      </w:pPr>
      <w:r>
        <w:rPr>
          <w:b w:val="0"/>
          <w:i w:val="0"/>
        </w:rPr>
        <w:t>Valores ilustrativos para demonstrar o método de cada benchmark (não são dados reais do BACEN; servem para conferir a mecânica).</w:t>
      </w:r>
    </w:p>
    <w:p>
      <w:pPr>
        <w:spacing w:after="40"/>
      </w:pPr>
      <w:r>
        <w:rPr>
          <w:b/>
          <w:i w:val="0"/>
        </w:rPr>
        <w:t>CDI — taxa diária BACEN de 0,000400 (0,04%/dia) em D0..D4: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Dia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Índice CDI (base 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100,000000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100,040000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100,080016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100,120048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100,160096</w:t>
            </w:r>
          </w:p>
        </w:tc>
      </w:tr>
    </w:tbl>
    <w:p>
      <w:pPr>
        <w:spacing w:after="80"/>
      </w:pP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Rebaseado: (100,160096 / 100 − 1) × 100 = +0,16% na semana</w:t>
      </w:r>
    </w:p>
    <w:p>
      <w:pPr>
        <w:spacing w:after="40"/>
      </w:pPr>
      <w:r>
        <w:rPr>
          <w:b/>
          <w:i w:val="0"/>
        </w:rPr>
        <w:t>IBOV — se o ^BVSP fechou D0 = 120.000 e D4 = 123.000: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(123.000 / 120.000 − 1) × 100 = +2,50% na semana</w:t>
      </w:r>
    </w:p>
    <w:p>
      <w:pPr>
        <w:spacing w:after="40"/>
      </w:pPr>
      <w:r>
        <w:rPr>
          <w:b/>
          <w:i w:val="0"/>
        </w:rPr>
        <w:t>IPCA — mês com taxa de 0,50% (mês de 31 dias), valor no 5º dia:</w:t>
      </w:r>
    </w:p>
    <w:p>
      <w:pPr>
        <w:spacing w:after="120"/>
        <w:ind w:left="360"/>
      </w:pPr>
      <w:r>
        <w:rPr>
          <w:rFonts w:ascii="Consolas" w:hAnsi="Consolas"/>
          <w:color w:val="1F335E"/>
          <w:sz w:val="19"/>
        </w:rPr>
        <w:t>f = (1,005) ^ (1/31) = 1,00016090</w:t>
      </w:r>
      <w:r>
        <w:br/>
      </w:r>
      <w:r>
        <w:rPr>
          <w:rFonts w:ascii="Consolas" w:hAnsi="Consolas"/>
          <w:color w:val="1F335E"/>
          <w:sz w:val="19"/>
        </w:rPr>
        <w:t>valor(dia 5) = 100 × f^5 = 100,0805  →  +0,08% acumulado até o 5º dia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Poupança segue exatamente o mesmo método mensal→diário do IPCA.</w:t>
      </w:r>
    </w:p>
    <w:p>
      <w:pPr>
        <w:spacing w:after="120"/>
      </w:pPr>
      <w:r>
        <w:rPr>
          <w:b w:val="0"/>
          <w:i/>
          <w:color w:val="555555"/>
          <w:sz w:val="20"/>
        </w:rPr>
        <w:t>Resultado da comparação nesta semana-exemplo: carteira +25,00% · IBOV +2,50% · CDI +0,16% · IPCA +0,08%. (Números propositalmente exagerados para a curva caber numa conferência de planilha.)</w:t>
      </w:r>
    </w:p>
    <w:p>
      <w:pPr>
        <w:pStyle w:val="Heading2"/>
      </w:pPr>
      <w:r>
        <w:rPr>
          <w:color w:val="1F335E"/>
        </w:rPr>
        <w:t>F. Roteiro de verificação para o consultor</w:t>
      </w:r>
    </w:p>
    <w:p>
      <w:pPr>
        <w:spacing w:after="120"/>
      </w:pPr>
      <w:r>
        <w:rPr>
          <w:b w:val="0"/>
          <w:i w:val="0"/>
        </w:rPr>
        <w:t>Para auditar qualquer carteira real, reproduza os passos abaixo numa planilha e compare com a série exibida no gráfico:</w:t>
      </w:r>
    </w:p>
    <w:p>
      <w:pPr>
        <w:pStyle w:val="ListBullet"/>
      </w:pPr>
      <w:r>
        <w:t>1. Monte o saldo bruto de cada dia útil: Σ (quantidade split-ajustada × preço de mercado) + caixa + proventos líquidos acumulados (+ renda fixa por fator, se houver).</w:t>
      </w:r>
    </w:p>
    <w:p>
      <w:pPr>
        <w:pStyle w:val="ListBullet"/>
      </w:pPr>
      <w:r>
        <w:t>2. Liste os fluxos do dia (aportes − resgates). Confirme que proventos e reinvestimentos NÃO estão nessa lista.</w:t>
      </w:r>
    </w:p>
    <w:p>
      <w:pPr>
        <w:pStyle w:val="ListBullet"/>
      </w:pPr>
      <w:r>
        <w:t>3. Calcule o retorno diário pela fórmula B.2 e confirme o clamp de ±50%.</w:t>
      </w:r>
    </w:p>
    <w:p>
      <w:pPr>
        <w:pStyle w:val="ListBullet"/>
      </w:pPr>
      <w:r>
        <w:t>4. Encadeie (produtório) e rebaseie para 0% no primeiro dia (fórmula B.2).</w:t>
      </w:r>
    </w:p>
    <w:p>
      <w:pPr>
        <w:pStyle w:val="ListBullet"/>
      </w:pPr>
      <w:r>
        <w:t>5. Para cada benchmark, reconstrua o índice (B.3) e rebaseie para 0% no mesmo dia inicial da carteira.</w:t>
      </w:r>
    </w:p>
    <w:p>
      <w:pPr>
        <w:pStyle w:val="ListBullet"/>
      </w:pPr>
      <w:r>
        <w:t>6. Pontos de atenção a auditar especificamente: data de crédito dos proventos (pagamento, não data-ex), IRRF de JCP conforme a data, normalização de quantidade nos splits, e a interpolação geométrica (não linear) de IPCA/Poupança.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