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Especificação — Análise de Ativos My Finance</w:t>
      </w:r>
    </w:p>
    <w:p>
      <w:pPr/>
      <w:r>
        <w:t>29 de setembro de 2026 · Escolhi Ser Rico / My Finance · Especificação para desenvolvimento · v1.3</w:t>
      </w:r>
    </w:p>
    <w:p>
      <w:pPr>
        <w:pStyle w:val="Heading2"/>
      </w:pPr>
      <w:r>
        <w:t xml:space="preserve">1. Visão geral</w:t>
      </w:r>
    </w:p>
    <w:p>
      <w:pPr/>
      <w:r>
        <w:t xml:space="preserve">A </w:t>
      </w:r>
      <w:r>
        <w:rPr>
          <w:b/>
        </w:rPr>
        <w:t xml:space="preserve">Análise de Ativos</w:t>
      </w:r>
      <w:r>
        <w:t xml:space="preserve"> é uma nova área do My Finance (item da sidebar logo abaixo de Carteira, selo NOVO) para o usuário estudar Ações, FIIs, Stocks e REITs sem sair do hub — com fundamentos, um índice quantitativo, um comparador e um ranking votado pela comunidade.</w:t>
      </w:r>
    </w:p>
    <w:p>
      <w:pPr/>
      <w:r>
        <w:rPr>
          <w:b/>
        </w:rPr>
        <w:t xml:space="preserve">Posicionamento:</w:t>
      </w:r>
      <w:r>
        <w:t xml:space="preserve"> "a única análise de ativos que sabe quem você é". Diferente de Bastter e Fundamentei, cada tela conversa com a Carteira, o Planejamento e o Fluxo de Caixa do usuário: quantidade, peso, preço médio, alvo por classe e sobra de caixa aparecem ao lado dos fundamentos.</w:t>
      </w:r>
    </w:p>
    <w:p>
      <w:pPr/>
      <w:r>
        <w:rPr>
          <w:b/>
        </w:rPr>
        <w:t xml:space="preserve">Diferenciais a preservar na implementação</w:t>
      </w:r>
    </w:p>
    <w:p>
      <w:pPr>
        <w:pStyle w:val="ListParagraph"/>
        <w:numPr>
          <w:ilvl w:val="0"/>
          <w:numId w:val="2"/>
        </w:numPr>
      </w:pPr>
      <w:r>
        <w:t xml:space="preserve">Integração com a carteira (selo "Na carteira", peso vs. alvo do Planejamento).</w:t>
      </w:r>
    </w:p>
    <w:p>
      <w:pPr>
        <w:pStyle w:val="ListParagraph"/>
        <w:numPr>
          <w:ilvl w:val="0"/>
          <w:numId w:val="2"/>
        </w:numPr>
      </w:pPr>
      <w:r>
        <w:t xml:space="preserve">Índice MF (fórmula pública) e nota da comunidade lado a lado, nunca fundidos, com selo "convergem" / divergência.</w:t>
      </w:r>
    </w:p>
    <w:p>
      <w:pPr>
        <w:pStyle w:val="ListParagraph"/>
        <w:numPr>
          <w:ilvl w:val="0"/>
          <w:numId w:val="2"/>
        </w:numPr>
      </w:pPr>
      <w:r>
        <w:t xml:space="preserve">Voto com lastro: votos de quem tem o ativo na carteira pesam 1,5×; exibir "% dos votantes têm na carteira".</w:t>
      </w:r>
    </w:p>
    <w:p>
      <w:pPr>
        <w:pStyle w:val="ListParagraph"/>
        <w:numPr>
          <w:ilvl w:val="0"/>
          <w:numId w:val="2"/>
        </w:numPr>
      </w:pPr>
      <w:r>
        <w:t xml:space="preserve">FIIs avaliados por tipo (tijolo × papel), com padrão construtivo (AAA/AA/A) como critério central de tijolo.</w:t>
      </w:r>
    </w:p>
    <w:p>
      <w:pPr>
        <w:pStyle w:val="ListParagraph"/>
        <w:numPr>
          <w:ilvl w:val="0"/>
          <w:numId w:val="2"/>
        </w:numPr>
      </w:pPr>
      <w:r>
        <w:t xml:space="preserve">Comparador com destaque numérico por critério e mini-gráficos na mesma escala.</w:t>
      </w:r>
    </w:p>
    <w:p>
      <w:pPr>
        <w:pStyle w:val="ListParagraph"/>
        <w:numPr>
          <w:ilvl w:val="0"/>
          <w:numId w:val="2"/>
        </w:numPr>
      </w:pPr>
      <w:r>
        <w:t xml:space="preserve">"Minha tese" privada (diário de decisões) e ponte para a trilha de Educação.</w:t>
      </w:r>
    </w:p>
    <w:p>
      <w:pPr/>
      <w:r>
        <w:rPr>
          <w:b/>
        </w:rPr>
        <w:t xml:space="preserve">Postura regulatória (decisão do cliente, 28/09/2026):</w:t>
      </w:r>
      <w:r>
        <w:t xml:space="preserve"> ferramenta de dados com linguagem neutra — sem analista CNPI por ora. Nada na área pode soar como recomendação. Ver seção 9.</w:t>
      </w:r>
    </w:p>
    <w:p>
      <w:pPr/>
      <w:r>
        <w:rPr>
          <w:b/>
        </w:rPr>
        <w:t xml:space="preserve">Protótipo de referência:</w:t>
      </w:r>
      <w:r>
        <w:t xml:space="preserve"> </w:t>
      </w:r>
      <w:r>
        <w:rPr>
          <w:rStyle w:val="CodeChar"/>
        </w:rPr>
        <w:t xml:space="preserve">analise-de-ativos.html</w:t>
      </w:r>
      <w:r>
        <w:t xml:space="preserve"> (arquivo único, navegável, temas claro e escuro, dados ilustrativos). Toda descrição abaixo corresponde ao que está no protótipo.</w:t>
      </w:r>
    </w:p>
    <w:p>
      <w:pPr>
        <w:pStyle w:val="Heading2"/>
      </w:pPr>
      <w:r>
        <w:t xml:space="preserve">2. Escopo do MVP</w:t>
      </w:r>
    </w:p>
    <w:p>
      <w:pPr/>
      <w:r>
        <w:t xml:space="preserve">O MVP entrega as quatro classes com Quadro, Página do ativo, Comparador e Ranking, alimentados por provedores de dados e pela CVM/SEC, com voto e tese da comunidade.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Classes</w:t>
            </w:r>
          </w:p>
        </w:tc>
        <w:tc>
          <w:tcPr>
            <w:tcW w:w="3120" w:type="dxa"/>
          </w:tcPr>
          <w:p>
            <w:pPr/>
            <w:r>
              <w:t xml:space="preserve">Ações (B3), FIIs, Stocks (NYSE/Nasdaq), REITs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Quadro (lista)</w:t>
            </w:r>
          </w:p>
        </w:tc>
        <w:tc>
          <w:tcPr>
            <w:tcW w:w="3120" w:type="dxa"/>
          </w:tcPr>
          <w:p>
            <w:pPr/>
            <w:r>
              <w:t xml:space="preserve">filtros, ordenação Índice MF / Comunidade e por qualquer coluna, modo Resumo/Detalhado, coluna "Lucro 10 anos", coluna "Na carteira", paginação "Mostrar mais"</w:t>
            </w:r>
          </w:p>
        </w:tc>
        <w:tc>
          <w:tcPr>
            <w:tcW w:w="3120" w:type="dxa"/>
          </w:tcPr>
          <w:p>
            <w:pPr/>
            <w:r>
              <w:t xml:space="preserve">filtros avançados por setor e faixa de indicadores, tabelas personalizadas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Página do ativo</w:t>
            </w:r>
          </w:p>
        </w:tc>
        <w:tc>
          <w:tcPr>
            <w:tcW w:w="3120" w:type="dxa"/>
          </w:tcPr>
          <w:p>
            <w:pPr/>
            <w:r>
              <w:t xml:space="preserve">semáforo, KPIs, gráfico Lucro × Cotação, dividendos, Fundamentos 10 anos em dois níveis (Essencial e Raio-X), Valuation (Múltiplos com posição histórica e Meus cenários), múltiplos históricos, pares, comunidade, eventos, card Educação</w:t>
            </w:r>
          </w:p>
        </w:tc>
        <w:tc>
          <w:tcPr>
            <w:tcW w:w="3120" w:type="dxa"/>
          </w:tcPr>
          <w:p>
            <w:pPr/>
            <w:r>
              <w:t xml:space="preserve">padrão construtivo por imóvel, diluição de ações, receita por segmento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Comparador</w:t>
            </w:r>
          </w:p>
        </w:tc>
        <w:tc>
          <w:tcPr>
            <w:tcW w:w="3120" w:type="dxa"/>
          </w:tcPr>
          <w:p>
            <w:pPr/>
            <w:r>
              <w:t xml:space="preserve">até 4 ativos, destaque por critério, tijolo/papel/misto, mini-gráficos</w:t>
            </w:r>
          </w:p>
        </w:tc>
        <w:tc>
          <w:tcPr>
            <w:tcW w:w="3120" w:type="dxa"/>
          </w:tcPr>
          <w:p>
            <w:pPr/>
            <w:r>
              <w:t xml:space="preserve">exportar PDF real, salvar comparações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Ranking da comunidade</w:t>
            </w:r>
          </w:p>
        </w:tc>
        <w:tc>
          <w:tcPr>
            <w:tcW w:w="3120" w:type="dxa"/>
          </w:tcPr>
          <w:p>
            <w:pPr/>
            <w:r>
              <w:t xml:space="preserve">voto 1–5 estrelas + sentimento, média bayesiana, peso de holder, validação 90 dias</w:t>
            </w:r>
          </w:p>
        </w:tc>
        <w:tc>
          <w:tcPr>
            <w:tcW w:w="3120" w:type="dxa"/>
          </w:tcPr>
          <w:p>
            <w:pPr/>
            <w:r>
              <w:t xml:space="preserve">histórico mensal do ranking, selo "Analista" (gamificação)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Comunidade</w:t>
            </w:r>
          </w:p>
        </w:tc>
        <w:tc>
          <w:tcPr>
            <w:tcW w:w="3120" w:type="dxa"/>
          </w:tcPr>
          <w:p>
            <w:pPr/>
            <w:r>
              <w:t xml:space="preserve">tese pública (uma por usuário/ativo), curtir, riscos apontados, tese privada</w:t>
            </w:r>
          </w:p>
        </w:tc>
        <w:tc>
          <w:tcPr>
            <w:tcW w:w="3120" w:type="dxa"/>
          </w:tcPr>
          <w:p>
            <w:pPr/>
            <w:r>
              <w:t xml:space="preserve">respostas em thread, denúncia com fluxo completo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FII não estruturados</w:t>
            </w:r>
          </w:p>
        </w:tc>
        <w:tc>
          <w:tcPr>
            <w:tcW w:w="3120" w:type="dxa"/>
          </w:tcPr>
          <w:p>
            <w:pPr/>
            <w:r>
              <w:t xml:space="preserve">padrão construtivo, inquilinos, contratos atípicos, LTV, inadimplência via extração + revisão humana (top 100 FIIs por liquidez)</w:t>
            </w:r>
          </w:p>
        </w:tc>
        <w:tc>
          <w:tcPr>
            <w:tcW w:w="3120" w:type="dxa"/>
          </w:tcPr>
          <w:p>
            <w:pPr/>
            <w:r>
              <w:t xml:space="preserve">cobertura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Busca</w:t>
            </w:r>
          </w:p>
        </w:tc>
        <w:tc>
          <w:tcPr>
            <w:tcW w:w="3120" w:type="dxa"/>
          </w:tcPr>
          <w:p>
            <w:pPr/>
            <w:r>
              <w:t xml:space="preserve">busca por ticker/nome com autocomplete</w:t>
            </w:r>
          </w:p>
        </w:tc>
        <w:tc>
          <w:tcPr>
            <w:tcW w:w="3120" w:type="dxa"/>
          </w:tcPr>
          <w:p>
            <w:pPr/>
            <w:r>
              <w:t xml:space="preserve">busca por setor/segmento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Salvos (watchlists)</w:t>
            </w:r>
          </w:p>
        </w:tc>
        <w:tc>
          <w:tcPr>
            <w:tcW w:w="3120" w:type="dxa"/>
          </w:tcPr>
          <w:p>
            <w:pPr/>
            <w:r>
              <w:t xml:space="preserve">placeholder (pill visível, "em breve")</w:t>
            </w:r>
          </w:p>
        </w:tc>
        <w:tc>
          <w:tcPr>
            <w:tcW w:w="3120" w:type="dxa"/>
          </w:tcPr>
          <w:p>
            <w:pPr/>
            <w:r>
              <w:t xml:space="preserve">listas nomeadas, alertas</w:t>
            </w:r>
          </w:p>
        </w:tc>
      </w:tr>
    </w:tbl>
    <w:p>
      <w:pPr/>
      <w:r>
        <w:rPr>
          <w:b/>
        </w:rPr>
        <w:t xml:space="preserve">Fora de escopo do MVP:</w:t>
      </w:r>
      <w:r>
        <w:t xml:space="preserve"> recomendações, preço-alvo, sinais de compra/venda, alertas de preço, ordens (integração com corretora), opções/derivativos, cripto.</w:t>
      </w:r>
    </w:p>
    <w:p>
      <w:pPr>
        <w:pStyle w:val="Heading2"/>
      </w:pPr>
      <w:r>
        <w:t xml:space="preserve">3. Navegação e telas</w:t>
      </w:r>
    </w:p>
    <w:p>
      <w:pPr/>
      <w:r>
        <w:t xml:space="preserve">A área vive em </w:t>
      </w:r>
      <w:r>
        <w:rPr>
          <w:rStyle w:val="CodeChar"/>
        </w:rPr>
        <w:t xml:space="preserve">/analise</w:t>
      </w:r>
      <w:r>
        <w:t xml:space="preserve"> e tem quatro páginas (pills no topo, padrão Resumo/Análise do app): </w:t>
      </w:r>
      <w:r>
        <w:rPr>
          <w:b/>
        </w:rPr>
        <w:t xml:space="preserve">Quadro</w:t>
      </w:r>
      <w:r>
        <w:t xml:space="preserve">, </w:t>
      </w:r>
      <w:r>
        <w:rPr>
          <w:b/>
        </w:rPr>
        <w:t xml:space="preserve">Comparador</w:t>
      </w:r>
      <w:r>
        <w:t xml:space="preserve">, </w:t>
      </w:r>
      <w:r>
        <w:rPr>
          <w:b/>
        </w:rPr>
        <w:t xml:space="preserve">Ranking</w:t>
      </w:r>
      <w:r>
        <w:t xml:space="preserve"> e </w:t>
      </w:r>
      <w:r>
        <w:rPr>
          <w:b/>
        </w:rPr>
        <w:t xml:space="preserve">Salvos</w:t>
      </w:r>
      <w:r>
        <w:t xml:space="preserve">. Dentro de cada página, tabs por classe (padrão "Carteira Consolidada"): Ações · FIIs · Stocks · REITs, com contador de ativos. A classe selecionada persiste ao trocar de pill.</w:t>
      </w:r>
    </w:p>
    <w:p>
      <w:pPr/>
      <w:r>
        <w:rPr>
          <w:b/>
        </w:rPr>
        <w:t xml:space="preserve">Estrutura comum de toda tela</w:t>
      </w:r>
    </w:p>
    <w:p>
      <w:pPr>
        <w:pStyle w:val="ListParagraph"/>
        <w:numPr>
          <w:ilvl w:val="0"/>
          <w:numId w:val="3"/>
        </w:numPr>
      </w:pPr>
      <w:r>
        <w:t xml:space="preserve">Banner informativo (padrão do banner Open Finance): "Novo: Análise de Ativos…" com botão "Ver minha carteira" e "Agora não" (dispensável, lembrar por 30 dias).</w:t>
      </w:r>
    </w:p>
    <w:p>
      <w:pPr>
        <w:pStyle w:val="ListParagraph"/>
        <w:numPr>
          <w:ilvl w:val="0"/>
          <w:numId w:val="3"/>
        </w:numPr>
      </w:pPr>
      <w:r>
        <w:t xml:space="preserve">Título + subtítulo "Dados, fundamentos e opiniões da comunidade — ações, FIIs, stocks e REITs em um só lugar"; busca (atalho </w:t>
      </w:r>
      <w:r>
        <w:rPr>
          <w:rStyle w:val="CodeChar"/>
        </w:rPr>
        <w:t xml:space="preserve">/</w:t>
      </w:r>
      <w:r>
        <w:t xml:space="preserve">) com autocomplete por ticker e nome; botão navy "Criar lista".</w:t>
      </w:r>
    </w:p>
    <w:p>
      <w:pPr>
        <w:pStyle w:val="ListParagraph"/>
        <w:numPr>
          <w:ilvl w:val="0"/>
          <w:numId w:val="3"/>
        </w:numPr>
      </w:pPr>
      <w:r>
        <w:t xml:space="preserve">Card principal com tabs de classe e o conteúdo da página.</w:t>
      </w:r>
    </w:p>
    <w:p>
      <w:pPr>
        <w:pStyle w:val="ListParagraph"/>
        <w:numPr>
          <w:ilvl w:val="0"/>
          <w:numId w:val="3"/>
        </w:numPr>
      </w:pPr>
      <w:r>
        <w:t xml:space="preserve">Rodapé legal fixo (texto na seção 9).</w:t>
      </w:r>
    </w:p>
    <w:p>
      <w:pPr>
        <w:pStyle w:val="Heading3"/>
      </w:pPr>
      <w:r>
        <w:t xml:space="preserve">3.1 Quadro (lista)</w:t>
      </w:r>
    </w:p>
    <w:p>
      <w:pPr>
        <w:pStyle w:val="ListParagraph"/>
        <w:numPr>
          <w:ilvl w:val="0"/>
          <w:numId w:val="4"/>
        </w:numPr>
      </w:pPr>
      <w:r>
        <w:t xml:space="preserve">Chips de filtro: Lucro consistente (5+ anos) · Dividendos ≥ 4% · Na minha carteira · Setor ▾ · Mais filtros ▾. Chips ativos ficam azul-claro.</w:t>
      </w:r>
    </w:p>
    <w:p>
      <w:pPr>
        <w:pStyle w:val="ListParagraph"/>
        <w:numPr>
          <w:ilvl w:val="0"/>
          <w:numId w:val="4"/>
        </w:numPr>
      </w:pPr>
      <w:r>
        <w:t xml:space="preserve">Ordenação: pills "Índice MF | Comunidade" (padrão: Índice MF desc) e clique em qualquer cabeçalho de coluna (▼/▲; direção padrão: desc para DY, ROE e lucros seguidos; asc para P/L, P/VP, P/FFO, payout, vacância e dívida). Modo "Resumo | Detalhado" define as colunas. Cabeçalho fixo ao rolar; carregamento de 25 em 25 com botão "Mostrar mais".</w:t>
      </w:r>
    </w:p>
    <w:p>
      <w:pPr>
        <w:pStyle w:val="ListParagraph"/>
        <w:numPr>
          <w:ilvl w:val="0"/>
          <w:numId w:val="4"/>
        </w:numPr>
      </w:pPr>
      <w:r>
        <w:t xml:space="preserve">Tabela (cabeçalho navy). Colunas do modo Resumo por classe (todas incluem também "Lucro 10 anos": dez barras verticais, verde no ano de lucro e vermelha no de prejuízo, valor no hover): </w:t>
      </w:r>
      <w:r>
        <w:rPr>
          <w:b/>
        </w:rPr>
        <w:t xml:space="preserve">Ações</w:t>
      </w:r>
      <w:r>
        <w:t xml:space="preserve"> ativo, preço, lucros seguidos, ROE, P/L, P/VP, DY 12m, Índice MF, Comunidade, Na carteira · </w:t>
      </w:r>
      <w:r>
        <w:rPr>
          <w:b/>
        </w:rPr>
        <w:t xml:space="preserve">FIIs</w:t>
      </w:r>
      <w:r>
        <w:t xml:space="preserve"> ativo, tipo, cota, DY 12m, P/VP, vacância, Índice MF, Comunidade, Na carteira · </w:t>
      </w:r>
      <w:r>
        <w:rPr>
          <w:b/>
        </w:rPr>
        <w:t xml:space="preserve">Stocks</w:t>
      </w:r>
      <w:r>
        <w:t xml:space="preserve"> ativo, preço, lucros seguidos, ROE, P/E, div. yield, Índice MF, Comunidade, Na carteira · </w:t>
      </w:r>
      <w:r>
        <w:rPr>
          <w:b/>
        </w:rPr>
        <w:t xml:space="preserve">REITs</w:t>
      </w:r>
      <w:r>
        <w:t xml:space="preserve"> ativo, preço, P/FFO, FFO payout, ocupação, div. yield, Índice MF, Comunidade, Na carteira. Modo Detalhado acrescenta setor/segmento, margem, dívida, P/S, patrimônio, liquidez, nº imóveis, FFO/share, anos de dividendo.</w:t>
      </w:r>
    </w:p>
    <w:p>
      <w:pPr>
        <w:pStyle w:val="ListParagraph"/>
        <w:numPr>
          <w:ilvl w:val="0"/>
          <w:numId w:val="4"/>
        </w:numPr>
      </w:pPr>
      <w:r>
        <w:t xml:space="preserve">Células especiais: "lucros seguidos" = 10 barrinhas (verdes até n) + "n anos" ("1 ano", "10+ anos"); Índice MF = anel cônico com a nota no centro (cor por faixa: ≥ 8 verde, ≥ 6 azul, ≥ 4 laranja, abaixo vermelho); Comunidade = 5 estrelas + nota + nº votos; Na carteira = "120 ações · 3,8%" ou "—".</w:t>
      </w:r>
    </w:p>
    <w:p>
      <w:pPr>
        <w:pStyle w:val="ListParagraph"/>
        <w:numPr>
          <w:ilvl w:val="0"/>
          <w:numId w:val="4"/>
        </w:numPr>
      </w:pPr>
      <w:r>
        <w:t xml:space="preserve">Clique na linha abre a Página do ativo dentro do mesmo card. Nota de rodapé com a fórmula do Índice MF.</w:t>
      </w:r>
    </w:p>
    <w:p>
      <w:pPr>
        <w:pStyle w:val="Heading3"/>
      </w:pPr>
      <w:r>
        <w:t xml:space="preserve">3.2 Página do ativo</w:t>
      </w:r>
    </w:p>
    <w:p>
      <w:pPr/>
      <w:r>
        <w:t xml:space="preserve">Ordem dos blocos (todos dentro do card, com link "Voltar ao quadro de ‹classe›"):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Cabeçalho:</w:t>
      </w:r>
      <w:r>
        <w:t xml:space="preserve"> ícone com 4 letras, ticker + nome, tags (setor, segmento, listagem, índice), preço e variação do dia; botões Comparar (branco), Salvar (navy), Registrar na carteira (azul).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Índice MF + semáforo:</w:t>
      </w:r>
      <w:r>
        <w:t xml:space="preserve"> nota grande à esquerda com "n de 5 critérios atendidos · fórmula pública"; à direita 5 critérios, cada um com badge Atende / Parcial / Não atende, título neutro e uma frase factual (número + referência comparativa).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Na sua carteira + 8 KPIs</w:t>
      </w:r>
      <w:r>
        <w:t xml:space="preserve"> em cards tintados (padrão IBOV/Dólar/Bitcoin): quantidade · valor · % da carteira · PM · resultado; barra peso vs. alvo do Planejamento; "Classe X no Planejamento: 18,6% (alvo 20%)". KPIs por classe na seção 4.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Gráfico principal</w:t>
      </w:r>
      <w:r>
        <w:t xml:space="preserve"> "Lucro por ação × Cotação (base 100)" — duas linhas na mesma escala, pills 1A/3A/5A/10A/Máx, tooltip com crosshair; FIIs usam VP/cota × cota, REITs FFO/ação × cotação. Ao lado, barras de dividendos por ano com CAGR no cabeçalho.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Fundamentos — 10 anos</w:t>
      </w:r>
      <w:r>
        <w:t xml:space="preserve">, com seletor </w:t>
      </w:r>
      <w:r>
        <w:rPr>
          <w:b/>
        </w:rPr>
        <w:t xml:space="preserve">Essencial | Raio-X</w:t>
      </w:r>
      <w:r>
        <w:t xml:space="preserve"> (nomenclatura própria do My Finance; não usar "quadro simples/completo"). </w:t>
      </w:r>
      <w:r>
        <w:rPr>
          <w:b/>
        </w:rPr>
        <w:t xml:space="preserve">Essencial</w:t>
      </w:r>
      <w:r>
        <w:t xml:space="preserve"> = tabela anual resumida, anos em linhas (receita, lucro, margem, ROE, LPA, div/ação, payout, P/L, P/VP, DY; FII e REIT com equivalentes), última linha destacada, nota: "Essencial: o que basta para ver se lucro, rentabilidade e dividendos crescem ano a ano. Para abrir todos os demonstrativos, use o Raio-X." </w:t>
      </w:r>
      <w:r>
        <w:rPr>
          <w:b/>
        </w:rPr>
        <w:t xml:space="preserve">Raio-X</w:t>
      </w:r>
      <w:r>
        <w:t xml:space="preserve"> = demonstrativos completos com anos em colunas (mais recente à esquerda), cabeçalho navy, primeira coluna fixa, linhas de razão (margens, múltiplos) em itálico com fundo cinza, negativos em vermelho, unidade e fonte no topo ("Valores em R$ mi · ano fiscal · fonte: CVM"), botão "Exportar CSV". Blocos por classe — </w:t>
      </w:r>
      <w:r>
        <w:rPr>
          <w:i/>
        </w:rPr>
        <w:t xml:space="preserve">Ações/Stocks</w:t>
      </w:r>
      <w:r>
        <w:t xml:space="preserve">: Lucro e geração de caixa (receita, lucro bruto, margem bruta, EBITDA, margem EBITDA, EBIT, lucro líquido, margem líquida, LPA, ROE, ROIC, payout) · Caixa e dívida (PL, caixa, dívida bruta e líquida, dív.líq/EBITDA, dív.líq/PL, liquidez corrente, nº de ações) · Fluxo de caixa (FCO, FCI, FCF, CAPEX, FCL = FCO − CAPEX, FCL/lucro, dividendos e JCP pagos; stocks também buybacks). </w:t>
      </w:r>
      <w:r>
        <w:rPr>
          <w:i/>
        </w:rPr>
        <w:t xml:space="preserve">FIIs</w:t>
      </w:r>
      <w:r>
        <w:t xml:space="preserve">: Resultado e distribuição (receita, resultado, rendimento distribuído, rendimento/cota, DY, payout do resultado, resultado/cota) · Patrimônio e cota (PL, VP/cota, P/VP, nº cotas, cotistas, liquidez) · Carteira de imóveis (nº imóveis, ABL, vacância física e financeira, inquilinos, contratos atípicos, prazo médio, padrão AAA+AA; papel: nº CRIs, LTV, inadimplência, duration, indexador) · Alavancagem e custos (obrigações/PL, taxa adm, performance). </w:t>
      </w:r>
      <w:r>
        <w:rPr>
          <w:i/>
        </w:rPr>
        <w:t xml:space="preserve">REITs</w:t>
      </w:r>
      <w:r>
        <w:t xml:space="preserve">: FFO e distribuição (revenue, NOI, EBITDAre, net income, FFO, AFFO, FFO/share, AFFO/share, dividend/share, FFO e AFFO payout) · Balanço e dívida (total assets, total debt, net debt/EBITDA, interest coverage, fixed-charge coverage, rating) · Portfólio (nº imóveis, ocupação, inquilinos, prazo médio, same-store rent growth, aquisições).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Valuation — preço vs. fundamentos</w:t>
      </w:r>
      <w:r>
        <w:t xml:space="preserve">, card logo após Fundamentos, com seletor </w:t>
      </w:r>
      <w:r>
        <w:rPr>
          <w:b/>
        </w:rPr>
        <w:t xml:space="preserve">Múltiplos | Meus cenários</w:t>
      </w:r>
      <w:r>
        <w:t xml:space="preserve"> (referência estudada: abas Balanços e Valuation do Fundamentei; o My Finance acrescenta a posição histórica de cada múltiplo, os cenários com premissas do usuário e a ligação com a carteira). </w:t>
      </w:r>
      <w:r>
        <w:rPr>
          <w:b/>
        </w:rPr>
        <w:t xml:space="preserve">Múltiplos</w:t>
      </w:r>
      <w:r>
        <w:t xml:space="preserve"> = chips por grupo (Preço · Proventos · Lucratividade [FII/REIT: Qualidade da renda] · Crescimento · Alavancagem) e 4–8 cards por grupo, cada um com: valor atual (últimos 12 meses), uma frase de leitura, referência (setor/índice) e a barra de posição nos 10 anos (mín · média · máx; marcador azul = atual; traço = média) com status em texto ("+40% vs. média 10a", "maior em 10 anos"; percentuais em p.p.). Resumo do grupo no topo: "n de m indicadores de ‹grupo› estão abaixo da própria média de 10 anos". Ações/Stocks: P/L, P/VP, P/Receita, EV/EBITDA, P/FCO, P/FCL, LPA, VPA · DPA, DY, DY médio 5a, payout · margem líquida, ROE, ROA, ROIC · CAGR 5a de receita, lucro, LPA e dividendo · dív.líq/EBITDA, dívida/PL, liquidez corrente, cobertura de juros. FIIs: P/VP, VP/cota, cap rate, preço/m² · rendimento/cota 12m, DY, DY 5a, payout do resultado · vacância física e financeira, contratos atípicos, padrão AAA+AA · CAGR rendimento e VP/cota, crescimento real do aluguel, CAGR cotistas · obrigações/PL, taxas de adm e performance, liquidez. REITs: P/FFO, P/AFFO, P/NAV, implied cap rate, FFO/share, EV/EBITDA · dividend/share, DY, DY 5a, AFFO payout · ocupação, margem NOI, WALT, inquilinos investment grade · CAGR FFO/share e dividendo, same-store rent growth, aquisições · net debt/EBITDA, fixed-charge coverage, dívida a taxa fixa, rating. </w:t>
      </w:r>
      <w:r>
        <w:rPr>
          <w:b/>
        </w:rPr>
        <w:t xml:space="preserve">Meus cenários</w:t>
      </w:r>
      <w:r>
        <w:t xml:space="preserve"> = calculadora em que os dados do ativo vêm preenchidos (editáveis) e as premissas são do usuário: coluna esquerda com inputs e slider "Margem que você exige" (0–50%); à direita a tabela Método · Suas premissas · Resultado · vs. cotação · Com sua margem, as barras "Resultados lado a lado" com a linha da cotação atual, a linha "Sua posição" (preço médio → P/L ou P/VP ou P/FFO sobre custo e yield sobre custo) e o botão "Salvar cenário". Métodos — Ações/Stocks: preço pelo dividendo (Bazin: DPA ÷ yield desejado), fórmula de Graham (√(22,5 × LPA × VPA)), múltiplo alvo (P/L alvo × LPA; padrão = média de 10 anos) e dividendos crescentes (Gordon: DPA × (1+g) ÷ (k − g)); FIIs: preço pela renda desejada (rendimento 12m ÷ yield desejado), P/VP alvo × VP/cota e Meta de renda (cotas necessárias para R$ X/mês, custo à cotação de hoje, quantas faltam — pode virar objetivo no Planejamento); REITs: P/FFO alvo × FFO/share, Bazin e Gordon. Rodapé fixo: "Os cenários usam as premissas que você definiu. O My Finance não calcula 'preço justo' nem preço-alvo: o resultado é uma conta com os seus parâmetros, serve para estudo e não constitui recomendação de compra ou venda." Sem verde/vermelho na coluna vs. cotação e sem as palavras "barato/caro" em nenhum texto (seção 9).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Múltiplos históricos</w:t>
      </w:r>
      <w:r>
        <w:t xml:space="preserve"> (2 mini-gráficos com linha da média de 10 anos) + </w:t>
      </w:r>
      <w:r>
        <w:rPr>
          <w:b/>
        </w:rPr>
        <w:t xml:space="preserve">Comparação com pares do setor</w:t>
      </w:r>
      <w:r>
        <w:t xml:space="preserve"> (5 linhas, clicáveis).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Comunidade:</w:t>
      </w:r>
      <w:r>
        <w:t xml:space="preserve"> nota média + estrelas + "% dos votantes têm o ativo na carteira" + sentimento; widget "Sua avaliação" (5 estrelas) + "Sentimento pessoal — compraria hoje? Sim/Não"; tese mais votada (marcada "opinião de usuário"); "Principais riscos apontados" (3 itens); </w:t>
      </w:r>
      <w:r>
        <w:rPr>
          <w:b/>
        </w:rPr>
        <w:t xml:space="preserve">Minha tese (privada)</w:t>
      </w:r>
      <w:r>
        <w:t xml:space="preserve"> com salvamento automático e botão "Publicar na comunidade".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Próximos eventos</w:t>
      </w:r>
      <w:r>
        <w:t xml:space="preserve"> (3 itens com data, título, descrição; "vai para a sua Agenda") + card </w:t>
      </w:r>
      <w:r>
        <w:rPr>
          <w:b/>
        </w:rPr>
        <w:t xml:space="preserve">Aprenda a analisar</w:t>
      </w:r>
      <w:r>
        <w:t xml:space="preserve"> (módulo da trilha correspondente à classe).</w:t>
      </w:r>
    </w:p>
    <w:p>
      <w:pPr>
        <w:pStyle w:val="ListParagraph"/>
        <w:numPr>
          <w:ilvl w:val="0"/>
          <w:numId w:val="5"/>
        </w:numPr>
      </w:pPr>
      <w:r>
        <w:t xml:space="preserve">Nota "Dados: fonte · data" (selo de frescor) e rodapé legal.</w:t>
      </w:r>
    </w:p>
    <w:p>
      <w:pPr>
        <w:pStyle w:val="Heading3"/>
      </w:pPr>
      <w:r>
        <w:t xml:space="preserve">3.3 Comparador</w:t>
      </w:r>
    </w:p>
    <w:p>
      <w:pPr>
        <w:pStyle w:val="ListParagraph"/>
        <w:numPr>
          <w:ilvl w:val="0"/>
          <w:numId w:val="6"/>
        </w:numPr>
      </w:pPr>
      <w:r>
        <w:t xml:space="preserve">Barra: instrução ("★ marca o valor numericamente mais favorável em cada critério"), seletor </w:t>
      </w:r>
      <w:r>
        <w:rPr>
          <w:b/>
        </w:rPr>
        <w:t xml:space="preserve">Tijolo | Papel</w:t>
      </w:r>
      <w:r>
        <w:t xml:space="preserve"> (só em FIIs), botões Exportar PDF e Salvar comparação.</w:t>
      </w:r>
    </w:p>
    <w:p>
      <w:pPr>
        <w:pStyle w:val="ListParagraph"/>
        <w:numPr>
          <w:ilvl w:val="0"/>
          <w:numId w:val="6"/>
        </w:numPr>
      </w:pPr>
      <w:r>
        <w:t xml:space="preserve">Slots: até 4 ativos (ticker, nome, preço, × remover) + slot tracejado "+ Adicionar ativo" com 3 sugestões (mesmo tipo, no caso de FIIs).</w:t>
      </w:r>
    </w:p>
    <w:p>
      <w:pPr>
        <w:pStyle w:val="ListParagraph"/>
        <w:numPr>
          <w:ilvl w:val="0"/>
          <w:numId w:val="6"/>
        </w:numPr>
      </w:pPr>
      <w:r>
        <w:t xml:space="preserve">Alerta laranja quando há tijolo e papel juntos ("Você está comparando FIIs de tijolo com FIIs de papel…"); linhas não aplicáveis mostram "n/a".</w:t>
      </w:r>
    </w:p>
    <w:p>
      <w:pPr>
        <w:pStyle w:val="ListParagraph"/>
        <w:numPr>
          <w:ilvl w:val="0"/>
          <w:numId w:val="6"/>
        </w:numPr>
      </w:pPr>
      <w:r>
        <w:t xml:space="preserve">Tabela critério × ativo (cabeçalho navy): linha "Semáforo My Finance" (anel + 5 pontos coloridos + "n de 5 critérios"), grupos por tema (seção 4.3), "Na minha carteira", "Índice MF". Célula destaque = fundo verde + "★ destaque".</w:t>
      </w:r>
    </w:p>
    <w:p>
      <w:pPr>
        <w:pStyle w:val="ListParagraph"/>
        <w:numPr>
          <w:ilvl w:val="0"/>
          <w:numId w:val="6"/>
        </w:numPr>
      </w:pPr>
      <w:r>
        <w:t xml:space="preserve">Mini-gráficos dos 4 ativos (lucro/VP/FFO base 100) </w:t>
      </w:r>
      <w:r>
        <w:rPr>
          <w:b/>
        </w:rPr>
        <w:t xml:space="preserve">na mesma escala</w:t>
      </w:r>
      <w:r>
        <w:t xml:space="preserve"> (min = mínimo global ou 100, max = máximo global).</w:t>
      </w:r>
    </w:p>
    <w:p>
      <w:pPr>
        <w:pStyle w:val="ListParagraph"/>
        <w:numPr>
          <w:ilvl w:val="0"/>
          <w:numId w:val="6"/>
        </w:numPr>
      </w:pPr>
      <w:r>
        <w:t xml:space="preserve">Bloco "Resumo numérico": "X tem o maior Índice MF entre os selecionados (9,1)" + "A atende 5/5 · B atende 4/5…" + frase de responsabilidade; botão navy "Salvar comparação". </w:t>
      </w:r>
      <w:r>
        <w:rPr>
          <w:b/>
        </w:rPr>
        <w:t xml:space="preserve">Sem CTA de compra.</w:t>
      </w:r>
    </w:p>
    <w:p>
      <w:pPr>
        <w:pStyle w:val="Heading3"/>
      </w:pPr>
      <w:r>
        <w:t xml:space="preserve">3.4 Ranking da comunidade</w:t>
      </w:r>
    </w:p>
    <w:p>
      <w:pPr>
        <w:pStyle w:val="ListParagraph"/>
        <w:numPr>
          <w:ilvl w:val="0"/>
          <w:numId w:val="7"/>
        </w:numPr>
      </w:pPr>
      <w:r>
        <w:t xml:space="preserve">Cabeçalho: título "Ranking da comunidade · ‹classe›", subtítulo neutro, caixa "Como é calculado" (1 voto por usuário · média ponderada pelo nº de votos, mín. 200 · voto renovado a cada 90 dias · peso 1,5× para quem tem na carteira · atualizado diariamente).</w:t>
      </w:r>
    </w:p>
    <w:p>
      <w:pPr>
        <w:pStyle w:val="ListParagraph"/>
        <w:numPr>
          <w:ilvl w:val="0"/>
          <w:numId w:val="7"/>
        </w:numPr>
      </w:pPr>
      <w:r>
        <w:t xml:space="preserve">CTA azul-claro quando o usuário tem ativos na carteira sem voto: "Você tem 3 ações na carteira sem voto… Votar agora".</w:t>
      </w:r>
    </w:p>
    <w:p>
      <w:pPr>
        <w:pStyle w:val="ListParagraph"/>
        <w:numPr>
          <w:ilvl w:val="0"/>
          <w:numId w:val="7"/>
        </w:numPr>
      </w:pPr>
      <w:r>
        <w:t xml:space="preserve">Tabela: # + variação mensal (▲n verde / ▼n vermelho / •), ativo, nota da comunidade (estrelas + nota), votos, "têm na carteira" (barra + %), Índice MF (anel), "Índice × comunidade" (badge ✓ convergem / comunidade acima da nota / nota acima da comunidade), "Seu voto" (5 estrelas clicáveis na linha; mostra "seu voto: 5★").</w:t>
      </w:r>
    </w:p>
    <w:p>
      <w:pPr>
        <w:pStyle w:val="ListParagraph"/>
        <w:numPr>
          <w:ilvl w:val="0"/>
          <w:numId w:val="7"/>
        </w:numPr>
      </w:pPr>
      <w:r>
        <w:t xml:space="preserve">Nota de rodapé explicando "convergem".</w:t>
      </w:r>
    </w:p>
    <w:p>
      <w:pPr>
        <w:pStyle w:val="Heading3"/>
      </w:pPr>
      <w:r>
        <w:t xml:space="preserve">3.5 Salvos</w:t>
      </w:r>
    </w:p>
    <w:p>
      <w:pPr/>
      <w:r>
        <w:t xml:space="preserve">Placeholder no MVP: pill visível, tela "Listas em breve" com botão "Criar lista" que abre um modal de nome. Fase 2: listas nomeadas, ativos salvos, alertas.</w:t>
      </w:r>
    </w:p>
    <w:p>
      <w:pPr>
        <w:pStyle w:val="Heading3"/>
      </w:pPr>
      <w:r>
        <w:t xml:space="preserve">3.6 Mobile</w:t>
      </w:r>
    </w:p>
    <w:p>
      <w:pPr/>
      <w:r>
        <w:t xml:space="preserve">Sidebar oculta abaixo de 760 px (menu do app); tabs de classe com rolagem horizontal; tabelas com rolagem horizontal dentro do card; KPIs em 2 colunas; semáforo em 2 colunas; comparador com slots empilhados. Sem rolagem horizontal da página (validado a 390 px).</w:t>
      </w:r>
    </w:p>
    <w:p>
      <w:pPr>
        <w:pStyle w:val="Heading2"/>
      </w:pPr>
      <w:r>
        <w:t xml:space="preserve">4. Regras de negócio</w:t>
      </w:r>
    </w:p>
    <w:p>
      <w:pPr/>
      <w:r>
        <w:t xml:space="preserve">Todos os limiares abaixo são </w:t>
      </w:r>
      <w:r>
        <w:rPr>
          <w:b/>
        </w:rPr>
        <w:t xml:space="preserve">parâmetros configuráveis</w:t>
      </w:r>
      <w:r>
        <w:t xml:space="preserve"> (tabela </w:t>
      </w:r>
      <w:r>
        <w:rPr>
          <w:rStyle w:val="CodeChar"/>
        </w:rPr>
        <w:t xml:space="preserve">scoring_params</w:t>
      </w:r>
      <w:r>
        <w:t xml:space="preserve">), não constantes no código. Os valores iniciais são os do protótipo e devem ser validados pelo cliente antes do lançamento.</w:t>
      </w:r>
    </w:p>
    <w:p>
      <w:pPr>
        <w:pStyle w:val="Heading3"/>
      </w:pPr>
      <w:r>
        <w:t xml:space="preserve">4.1 Índice MF (0 a 10)</w:t>
      </w:r>
    </w:p>
    <w:p>
      <w:pPr/>
      <w:r>
        <w:t xml:space="preserve">Indicador quantitativo, fórmula pública, recalculado a cada novo balanço/informe e diariamente para a parcela de preço.</w:t>
      </w:r>
    </w:p>
    <w:p>
      <w:pPr>
        <w:pStyle w:val="Code"/>
      </w:pPr>
      <w:bookmarkStart w:id="1" w:name="bongo_lang_latex_1"/>
      <w:bookmarkEnd w:id="1"/>
      <w:r>
        <w:t>Índice MF = 0,35 × C_lucro + 0,20 × C_dívida + 0,20 × C_rent + 0,15 × C_div + 0,10 × C_preço</w:t>
      </w:r>
    </w:p>
    <w:p>
      <w:pPr/>
      <w:r>
        <w:t xml:space="preserve">Cada componente C vale de 0 a 10, por interpolação linear entre um piso (0) e um teto (10):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FIIs tijolo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FIIs papel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REITs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C_lucro (35%)</w:t>
            </w:r>
          </w:p>
        </w:tc>
        <w:tc>
          <w:tcPr>
            <w:tcW w:w="1872" w:type="dxa"/>
          </w:tcPr>
          <w:p>
            <w:pPr/>
            <w:r>
              <w:t xml:space="preserve">anos consecutivos de lucro: 0 → 0, 10+ → 10</w:t>
            </w:r>
          </w:p>
        </w:tc>
        <w:tc>
          <w:tcPr>
            <w:tcW w:w="1872" w:type="dxa"/>
          </w:tcPr>
          <w:p>
            <w:pPr/>
            <w:r>
              <w:t xml:space="preserve">meses consecutivos com rendimento: 0 → 0, 120 → 10</w:t>
            </w:r>
          </w:p>
        </w:tc>
        <w:tc>
          <w:tcPr>
            <w:tcW w:w="1872" w:type="dxa"/>
          </w:tcPr>
          <w:p>
            <w:pPr/>
            <w:r>
              <w:t xml:space="preserve">idem</w:t>
            </w:r>
          </w:p>
        </w:tc>
        <w:tc>
          <w:tcPr>
            <w:tcW w:w="1872" w:type="dxa"/>
          </w:tcPr>
          <w:p>
            <w:pPr/>
            <w:r>
              <w:t xml:space="preserve">anos consecutivos de FFO/ação positivo: 0 → 0, 10+ →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C_divida (20%)</w:t>
            </w:r>
          </w:p>
        </w:tc>
        <w:tc>
          <w:tcPr>
            <w:tcW w:w="1872" w:type="dxa"/>
          </w:tcPr>
          <w:p>
            <w:pPr/>
            <w:r>
              <w:t xml:space="preserve">Dív.líq/EBITDA: ≥ 6× → 0, ≤ 0 (caixa líquido) → 10</w:t>
            </w:r>
          </w:p>
        </w:tc>
        <w:tc>
          <w:tcPr>
            <w:tcW w:w="1872" w:type="dxa"/>
          </w:tcPr>
          <w:p>
            <w:pPr/>
            <w:r>
              <w:t xml:space="preserve">alavancagem (% do PL): ≥ 30% → 0, 0% → 10</w:t>
            </w:r>
          </w:p>
        </w:tc>
        <w:tc>
          <w:tcPr>
            <w:tcW w:w="1872" w:type="dxa"/>
          </w:tcPr>
          <w:p>
            <w:pPr/>
            <w:r>
              <w:t xml:space="preserve">LTV médio: ≥ 80% → 0, ≤ 40% → 10</w:t>
            </w:r>
          </w:p>
        </w:tc>
        <w:tc>
          <w:tcPr>
            <w:tcW w:w="1872" w:type="dxa"/>
          </w:tcPr>
          <w:p>
            <w:pPr/>
            <w:r>
              <w:t xml:space="preserve">Dív/EBITDA: ≥ 9× → 0, ≤ 4× →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C_rent (20%)</w:t>
            </w:r>
          </w:p>
        </w:tc>
        <w:tc>
          <w:tcPr>
            <w:tcW w:w="1872" w:type="dxa"/>
          </w:tcPr>
          <w:p>
            <w:pPr/>
            <w:r>
              <w:t xml:space="preserve">ROE: ≤ 0 → 0, ≥ 25% → 10</w:t>
            </w:r>
          </w:p>
        </w:tc>
        <w:tc>
          <w:tcPr>
            <w:tcW w:w="1872" w:type="dxa"/>
          </w:tcPr>
          <w:p>
            <w:pPr/>
            <w:r>
              <w:t xml:space="preserve">vacância física: ≥ 20% → 0, 0% → 10</w:t>
            </w:r>
          </w:p>
        </w:tc>
        <w:tc>
          <w:tcPr>
            <w:tcW w:w="1872" w:type="dxa"/>
          </w:tcPr>
          <w:p>
            <w:pPr/>
            <w:r>
              <w:t xml:space="preserve">inadimplência: ≥ 10% → 0, 0% → 10</w:t>
            </w:r>
          </w:p>
        </w:tc>
        <w:tc>
          <w:tcPr>
            <w:tcW w:w="1872" w:type="dxa"/>
          </w:tcPr>
          <w:p>
            <w:pPr/>
            <w:r>
              <w:t xml:space="preserve">ocupação: ≤ 80% → 0, ≥ 99% →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C_div (15%)</w:t>
            </w:r>
          </w:p>
        </w:tc>
        <w:tc>
          <w:tcPr>
            <w:tcW w:w="1872" w:type="dxa"/>
          </w:tcPr>
          <w:p>
            <w:pPr/>
            <w:r>
              <w:t xml:space="preserve">DY 12m: 0 → 0, ≥ 8% → 10</w:t>
            </w:r>
          </w:p>
        </w:tc>
        <w:tc>
          <w:tcPr>
            <w:tcW w:w="1872" w:type="dxa"/>
          </w:tcPr>
          <w:p>
            <w:pPr/>
            <w:r>
              <w:t xml:space="preserve">DY 12m: ≤ 4% → 0, ≥ 10% → 10</w:t>
            </w:r>
          </w:p>
        </w:tc>
        <w:tc>
          <w:tcPr>
            <w:tcW w:w="1872" w:type="dxa"/>
          </w:tcPr>
          <w:p>
            <w:pPr/>
            <w:r>
              <w:t xml:space="preserve">DY 12m: ≤ 6% → 0, ≥ 13% → 10</w:t>
            </w:r>
          </w:p>
        </w:tc>
        <w:tc>
          <w:tcPr>
            <w:tcW w:w="1872" w:type="dxa"/>
          </w:tcPr>
          <w:p>
            <w:pPr/>
            <w:r>
              <w:t xml:space="preserve">div. yield: 0 → 0, ≥ 6% →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C_preco (10%)</w:t>
            </w:r>
          </w:p>
        </w:tc>
        <w:tc>
          <w:tcPr>
            <w:tcW w:w="1872" w:type="dxa"/>
          </w:tcPr>
          <w:p>
            <w:pPr/>
            <w:r>
              <w:t xml:space="preserve">P/L atual vs. média 10a: ≥ +60% → 0, ≤ −30% → 10</w:t>
            </w:r>
          </w:p>
        </w:tc>
        <w:tc>
          <w:tcPr>
            <w:tcW w:w="1872" w:type="dxa"/>
          </w:tcPr>
          <w:p>
            <w:pPr/>
            <w:r>
              <w:t xml:space="preserve">P/VP: ≥ 1,30 → 0, ≤ 0,85 → 10</w:t>
            </w:r>
          </w:p>
        </w:tc>
        <w:tc>
          <w:tcPr>
            <w:tcW w:w="1872" w:type="dxa"/>
          </w:tcPr>
          <w:p>
            <w:pPr/>
            <w:r>
              <w:t xml:space="preserve">distância de P/VP=1,00: ≥ 0,25 → 0, 0 → 10</w:t>
            </w:r>
          </w:p>
        </w:tc>
        <w:tc>
          <w:tcPr>
            <w:tcW w:w="1872" w:type="dxa"/>
          </w:tcPr>
          <w:p>
            <w:pPr/>
            <w:r>
              <w:t xml:space="preserve">P/FFO vs. média 10a: ≥ +50% → 0, ≤ −30% → 10</w:t>
            </w:r>
          </w:p>
        </w:tc>
      </w:tr>
    </w:tbl>
    <w:p>
      <w:pPr/>
      <w:r>
        <w:t xml:space="preserve">Ativo com prejuízo no último ano ou dado obrigatório ausente: componente = 0 e selo "dados incompletos" na tela.</w:t>
      </w:r>
    </w:p>
    <w:p>
      <w:pPr>
        <w:pStyle w:val="Heading3"/>
      </w:pPr>
      <w:r>
        <w:t xml:space="preserve">4.2 Semáforo (5 critérios por ativo)</w:t>
      </w:r>
    </w:p>
    <w:p>
      <w:pPr/>
      <w:r>
        <w:t xml:space="preserve">Cada critério retorna </w:t>
      </w:r>
      <w:r>
        <w:rPr>
          <w:rStyle w:val="CodeChar"/>
        </w:rPr>
        <w:t xml:space="preserve">atende</w:t>
      </w:r>
      <w:r>
        <w:t xml:space="preserve"> / </w:t>
      </w:r>
      <w:r>
        <w:rPr>
          <w:rStyle w:val="CodeChar"/>
        </w:rPr>
        <w:t xml:space="preserve">parcial</w:t>
      </w:r>
      <w:r>
        <w:t xml:space="preserve"> / </w:t>
      </w:r>
      <w:r>
        <w:rPr>
          <w:rStyle w:val="CodeChar"/>
        </w:rPr>
        <w:t xml:space="preserve">nao_atende</w:t>
      </w:r>
      <w:r>
        <w:t xml:space="preserve">. Rótulos e frases são </w:t>
      </w:r>
      <w:r>
        <w:rPr>
          <w:b/>
        </w:rPr>
        <w:t xml:space="preserve">factuais</w:t>
      </w:r>
      <w:r>
        <w:t xml:space="preserve"> (número + referência); nunca adjetivos.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atende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parcial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não atende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</w:tcPr>
          <w:p>
            <w:pPr/>
            <w:r>
              <w:t xml:space="preserve">Lucros consecutivos</w:t>
            </w:r>
          </w:p>
        </w:tc>
        <w:tc>
          <w:tcPr>
            <w:tcW w:w="1872" w:type="dxa"/>
          </w:tcPr>
          <w:p>
            <w:pPr/>
            <w:r>
              <w:t xml:space="preserve">≥ 5 anos</w:t>
            </w:r>
          </w:p>
        </w:tc>
        <w:tc>
          <w:tcPr>
            <w:tcW w:w="1872" w:type="dxa"/>
          </w:tcPr>
          <w:p>
            <w:pPr/>
            <w:r>
              <w:t xml:space="preserve">2–4</w:t>
            </w:r>
          </w:p>
        </w:tc>
        <w:tc>
          <w:tcPr>
            <w:tcW w:w="1872" w:type="dxa"/>
          </w:tcPr>
          <w:p>
            <w:pPr/>
            <w:r>
              <w:t xml:space="preserve">&lt;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</w:tcPr>
          <w:p>
            <w:pPr/>
            <w:r>
              <w:t xml:space="preserve">Endividamento</w:t>
            </w:r>
          </w:p>
        </w:tc>
        <w:tc>
          <w:tcPr>
            <w:tcW w:w="1872" w:type="dxa"/>
          </w:tcPr>
          <w:p>
            <w:pPr/>
            <w:r>
              <w:t xml:space="preserve">Dív.líq/EBITDA ≤ 3× (stocks: D/E ≤ 1)</w:t>
            </w:r>
          </w:p>
        </w:tc>
        <w:tc>
          <w:tcPr>
            <w:tcW w:w="1872" w:type="dxa"/>
          </w:tcPr>
          <w:p>
            <w:pPr/>
            <w:r>
              <w:t xml:space="preserve">≤ 6× (D/E ≤ 2)</w:t>
            </w:r>
          </w:p>
        </w:tc>
        <w:tc>
          <w:tcPr>
            <w:tcW w:w="1872" w:type="dxa"/>
          </w:tcPr>
          <w:p>
            <w:pPr/>
            <w:r>
              <w:t xml:space="preserve">acima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</w:tcPr>
          <w:p>
            <w:pPr/>
            <w:r>
              <w:t xml:space="preserve">Rentabilidade (ROE)</w:t>
            </w:r>
          </w:p>
        </w:tc>
        <w:tc>
          <w:tcPr>
            <w:tcW w:w="1872" w:type="dxa"/>
          </w:tcPr>
          <w:p>
            <w:pPr/>
            <w:r>
              <w:t xml:space="preserve">≥ 15%</w:t>
            </w:r>
          </w:p>
        </w:tc>
        <w:tc>
          <w:tcPr>
            <w:tcW w:w="1872" w:type="dxa"/>
          </w:tcPr>
          <w:p>
            <w:pPr/>
            <w:r>
              <w:t xml:space="preserve">8–15%</w:t>
            </w:r>
          </w:p>
        </w:tc>
        <w:tc>
          <w:tcPr>
            <w:tcW w:w="1872" w:type="dxa"/>
          </w:tcPr>
          <w:p>
            <w:pPr/>
            <w:r>
              <w:t xml:space="preserve">&lt; 8%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</w:tcPr>
          <w:p>
            <w:pPr/>
            <w:r>
              <w:t xml:space="preserve">Preço vs. histórico</w:t>
            </w:r>
          </w:p>
        </w:tc>
        <w:tc>
          <w:tcPr>
            <w:tcW w:w="1872" w:type="dxa"/>
          </w:tcPr>
          <w:p>
            <w:pPr/>
            <w:r>
              <w:t xml:space="preserve">P/L ≤ 15 (stocks ≤ 25)</w:t>
            </w:r>
          </w:p>
        </w:tc>
        <w:tc>
          <w:tcPr>
            <w:tcW w:w="1872" w:type="dxa"/>
          </w:tcPr>
          <w:p>
            <w:pPr/>
            <w:r>
              <w:t xml:space="preserve">≤ 2,2× o limite</w:t>
            </w:r>
          </w:p>
        </w:tc>
        <w:tc>
          <w:tcPr>
            <w:tcW w:w="1872" w:type="dxa"/>
          </w:tcPr>
          <w:p>
            <w:pPr/>
            <w:r>
              <w:t xml:space="preserve">acima ou P/L negativo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Ações / Stocks</w:t>
            </w:r>
          </w:p>
        </w:tc>
        <w:tc>
          <w:tcPr>
            <w:tcW w:w="1872" w:type="dxa"/>
          </w:tcPr>
          <w:p>
            <w:pPr/>
            <w:r>
              <w:t xml:space="preserve">Dividendos</w:t>
            </w:r>
          </w:p>
        </w:tc>
        <w:tc>
          <w:tcPr>
            <w:tcW w:w="1872" w:type="dxa"/>
          </w:tcPr>
          <w:p>
            <w:pPr/>
            <w:r>
              <w:t xml:space="preserve">DY ≥ 4% (stocks ≥ 2%)</w:t>
            </w:r>
          </w:p>
        </w:tc>
        <w:tc>
          <w:tcPr>
            <w:tcW w:w="1872" w:type="dxa"/>
          </w:tcPr>
          <w:p>
            <w:pPr/>
            <w:r>
              <w:t xml:space="preserve">≥ 1%</w:t>
            </w:r>
          </w:p>
        </w:tc>
        <w:tc>
          <w:tcPr>
            <w:tcW w:w="1872" w:type="dxa"/>
          </w:tcPr>
          <w:p>
            <w:pPr/>
            <w:r>
              <w:t xml:space="preserve">&lt; 1%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tijolo</w:t>
            </w:r>
          </w:p>
        </w:tc>
        <w:tc>
          <w:tcPr>
            <w:tcW w:w="1872" w:type="dxa"/>
          </w:tcPr>
          <w:p>
            <w:pPr/>
            <w:r>
              <w:t xml:space="preserve">Renda recorrente</w:t>
            </w:r>
          </w:p>
        </w:tc>
        <w:tc>
          <w:tcPr>
            <w:tcW w:w="1872" w:type="dxa"/>
          </w:tcPr>
          <w:p>
            <w:pPr/>
            <w:r>
              <w:t xml:space="preserve">DY ≥ 8%</w:t>
            </w:r>
          </w:p>
        </w:tc>
        <w:tc>
          <w:tcPr>
            <w:tcW w:w="1872" w:type="dxa"/>
          </w:tcPr>
          <w:p>
            <w:pPr/>
            <w:r>
              <w:t xml:space="preserve">6–8%</w:t>
            </w:r>
          </w:p>
        </w:tc>
        <w:tc>
          <w:tcPr>
            <w:tcW w:w="1872" w:type="dxa"/>
          </w:tcPr>
          <w:p>
            <w:pPr/>
            <w:r>
              <w:t xml:space="preserve">&lt; 6%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tijolo</w:t>
            </w:r>
          </w:p>
        </w:tc>
        <w:tc>
          <w:tcPr>
            <w:tcW w:w="1872" w:type="dxa"/>
          </w:tcPr>
          <w:p>
            <w:pPr/>
            <w:r>
              <w:t xml:space="preserve">Vacância</w:t>
            </w:r>
          </w:p>
        </w:tc>
        <w:tc>
          <w:tcPr>
            <w:tcW w:w="1872" w:type="dxa"/>
          </w:tcPr>
          <w:p>
            <w:pPr/>
            <w:r>
              <w:t xml:space="preserve">≤ 5%</w:t>
            </w:r>
          </w:p>
        </w:tc>
        <w:tc>
          <w:tcPr>
            <w:tcW w:w="1872" w:type="dxa"/>
          </w:tcPr>
          <w:p>
            <w:pPr/>
            <w:r>
              <w:t xml:space="preserve">≤ 8%</w:t>
            </w:r>
          </w:p>
        </w:tc>
        <w:tc>
          <w:tcPr>
            <w:tcW w:w="1872" w:type="dxa"/>
          </w:tcPr>
          <w:p>
            <w:pPr/>
            <w:r>
              <w:t xml:space="preserve">&gt; 8%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tijolo</w:t>
            </w:r>
          </w:p>
        </w:tc>
        <w:tc>
          <w:tcPr>
            <w:tcW w:w="1872" w:type="dxa"/>
          </w:tcPr>
          <w:p>
            <w:pPr/>
            <w:r>
              <w:t xml:space="preserve">Diversificação</w:t>
            </w:r>
          </w:p>
        </w:tc>
        <w:tc>
          <w:tcPr>
            <w:tcW w:w="1872" w:type="dxa"/>
          </w:tcPr>
          <w:p>
            <w:pPr/>
            <w:r>
              <w:t xml:space="preserve">≥ 15 imóveis</w:t>
            </w:r>
          </w:p>
        </w:tc>
        <w:tc>
          <w:tcPr>
            <w:tcW w:w="1872" w:type="dxa"/>
          </w:tcPr>
          <w:p>
            <w:pPr/>
            <w:r>
              <w:t xml:space="preserve">8–14</w:t>
            </w:r>
          </w:p>
        </w:tc>
        <w:tc>
          <w:tcPr>
            <w:tcW w:w="1872" w:type="dxa"/>
          </w:tcPr>
          <w:p>
            <w:pPr/>
            <w:r>
              <w:t xml:space="preserve">&lt; 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tijolo</w:t>
            </w:r>
          </w:p>
        </w:tc>
        <w:tc>
          <w:tcPr>
            <w:tcW w:w="1872" w:type="dxa"/>
          </w:tcPr>
          <w:p>
            <w:pPr/>
            <w:r>
              <w:t xml:space="preserve">Padrão construtivo</w:t>
            </w:r>
          </w:p>
        </w:tc>
        <w:tc>
          <w:tcPr>
            <w:tcW w:w="1872" w:type="dxa"/>
          </w:tcPr>
          <w:p>
            <w:pPr/>
            <w:r>
              <w:t xml:space="preserve">AAA+AA ≥ 80% da ABL</w:t>
            </w:r>
          </w:p>
        </w:tc>
        <w:tc>
          <w:tcPr>
            <w:tcW w:w="1872" w:type="dxa"/>
          </w:tcPr>
          <w:p>
            <w:pPr/>
            <w:r>
              <w:t xml:space="preserve">55–80%</w:t>
            </w:r>
          </w:p>
        </w:tc>
        <w:tc>
          <w:tcPr>
            <w:tcW w:w="1872" w:type="dxa"/>
          </w:tcPr>
          <w:p>
            <w:pPr/>
            <w:r>
              <w:t xml:space="preserve">&lt; 55%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tijolo</w:t>
            </w:r>
          </w:p>
        </w:tc>
        <w:tc>
          <w:tcPr>
            <w:tcW w:w="1872" w:type="dxa"/>
          </w:tcPr>
          <w:p>
            <w:pPr/>
            <w:r>
              <w:t xml:space="preserve">Preço vs. VP</w:t>
            </w:r>
          </w:p>
        </w:tc>
        <w:tc>
          <w:tcPr>
            <w:tcW w:w="1872" w:type="dxa"/>
          </w:tcPr>
          <w:p>
            <w:pPr/>
            <w:r>
              <w:t xml:space="preserve">P/VP ≤ 1,05</w:t>
            </w:r>
          </w:p>
        </w:tc>
        <w:tc>
          <w:tcPr>
            <w:tcW w:w="1872" w:type="dxa"/>
          </w:tcPr>
          <w:p>
            <w:pPr/>
            <w:r>
              <w:t xml:space="preserve">≤ 1,20</w:t>
            </w:r>
          </w:p>
        </w:tc>
        <w:tc>
          <w:tcPr>
            <w:tcW w:w="1872" w:type="dxa"/>
          </w:tcPr>
          <w:p>
            <w:pPr/>
            <w:r>
              <w:t xml:space="preserve">&gt; 1,20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papel</w:t>
            </w:r>
          </w:p>
        </w:tc>
        <w:tc>
          <w:tcPr>
            <w:tcW w:w="1872" w:type="dxa"/>
          </w:tcPr>
          <w:p>
            <w:pPr/>
            <w:r>
              <w:t xml:space="preserve">Renda recorrente</w:t>
            </w:r>
          </w:p>
        </w:tc>
        <w:tc>
          <w:tcPr>
            <w:tcW w:w="1872" w:type="dxa"/>
          </w:tcPr>
          <w:p>
            <w:pPr/>
            <w:r>
              <w:t xml:space="preserve">DY ≥ 10%</w:t>
            </w:r>
          </w:p>
        </w:tc>
        <w:tc>
          <w:tcPr>
            <w:tcW w:w="1872" w:type="dxa"/>
          </w:tcPr>
          <w:p>
            <w:pPr/>
            <w:r>
              <w:t xml:space="preserve">8–10%</w:t>
            </w:r>
          </w:p>
        </w:tc>
        <w:tc>
          <w:tcPr>
            <w:tcW w:w="1872" w:type="dxa"/>
          </w:tcPr>
          <w:p>
            <w:pPr/>
            <w:r>
              <w:t xml:space="preserve">&lt; 8%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papel</w:t>
            </w:r>
          </w:p>
        </w:tc>
        <w:tc>
          <w:tcPr>
            <w:tcW w:w="1872" w:type="dxa"/>
          </w:tcPr>
          <w:p>
            <w:pPr/>
            <w:r>
              <w:t xml:space="preserve">Inadimplência</w:t>
            </w:r>
          </w:p>
        </w:tc>
        <w:tc>
          <w:tcPr>
            <w:tcW w:w="1872" w:type="dxa"/>
          </w:tcPr>
          <w:p>
            <w:pPr/>
            <w:r>
              <w:t xml:space="preserve">≤ 1%</w:t>
            </w:r>
          </w:p>
        </w:tc>
        <w:tc>
          <w:tcPr>
            <w:tcW w:w="1872" w:type="dxa"/>
          </w:tcPr>
          <w:p>
            <w:pPr/>
            <w:r>
              <w:t xml:space="preserve">≤ 4%</w:t>
            </w:r>
          </w:p>
        </w:tc>
        <w:tc>
          <w:tcPr>
            <w:tcW w:w="1872" w:type="dxa"/>
          </w:tcPr>
          <w:p>
            <w:pPr/>
            <w:r>
              <w:t xml:space="preserve">&gt; 4%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papel</w:t>
            </w:r>
          </w:p>
        </w:tc>
        <w:tc>
          <w:tcPr>
            <w:tcW w:w="1872" w:type="dxa"/>
          </w:tcPr>
          <w:p>
            <w:pPr/>
            <w:r>
              <w:t xml:space="preserve">LTV</w:t>
            </w:r>
          </w:p>
        </w:tc>
        <w:tc>
          <w:tcPr>
            <w:tcW w:w="1872" w:type="dxa"/>
          </w:tcPr>
          <w:p>
            <w:pPr/>
            <w:r>
              <w:t xml:space="preserve">≤ 55%</w:t>
            </w:r>
          </w:p>
        </w:tc>
        <w:tc>
          <w:tcPr>
            <w:tcW w:w="1872" w:type="dxa"/>
          </w:tcPr>
          <w:p>
            <w:pPr/>
            <w:r>
              <w:t xml:space="preserve">≤ 65%</w:t>
            </w:r>
          </w:p>
        </w:tc>
        <w:tc>
          <w:tcPr>
            <w:tcW w:w="1872" w:type="dxa"/>
          </w:tcPr>
          <w:p>
            <w:pPr/>
            <w:r>
              <w:t xml:space="preserve">&gt; 65%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papel</w:t>
            </w:r>
          </w:p>
        </w:tc>
        <w:tc>
          <w:tcPr>
            <w:tcW w:w="1872" w:type="dxa"/>
          </w:tcPr>
          <w:p>
            <w:pPr/>
            <w:r>
              <w:t xml:space="preserve">Preço vs. VP</w:t>
            </w:r>
          </w:p>
        </w:tc>
        <w:tc>
          <w:tcPr>
            <w:tcW w:w="1872" w:type="dxa"/>
          </w:tcPr>
          <w:p>
            <w:pPr/>
            <w:r>
              <w:t xml:space="preserve">P/VP 0,90–1,05</w:t>
            </w:r>
          </w:p>
        </w:tc>
        <w:tc>
          <w:tcPr>
            <w:tcW w:w="1872" w:type="dxa"/>
          </w:tcPr>
          <w:p>
            <w:pPr/>
            <w:r>
              <w:t xml:space="preserve">0,80–1,15</w:t>
            </w:r>
          </w:p>
        </w:tc>
        <w:tc>
          <w:tcPr>
            <w:tcW w:w="1872" w:type="dxa"/>
          </w:tcPr>
          <w:p>
            <w:pPr/>
            <w:r>
              <w:t xml:space="preserve">fora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FII papel</w:t>
            </w:r>
          </w:p>
        </w:tc>
        <w:tc>
          <w:tcPr>
            <w:tcW w:w="1872" w:type="dxa"/>
          </w:tcPr>
          <w:p>
            <w:pPr/>
            <w:r>
              <w:t xml:space="preserve">Diversificação</w:t>
            </w:r>
          </w:p>
        </w:tc>
        <w:tc>
          <w:tcPr>
            <w:tcW w:w="1872" w:type="dxa"/>
          </w:tcPr>
          <w:p>
            <w:pPr/>
            <w:r>
              <w:t xml:space="preserve">≥ 40 CRIs</w:t>
            </w:r>
          </w:p>
        </w:tc>
        <w:tc>
          <w:tcPr>
            <w:tcW w:w="1872" w:type="dxa"/>
          </w:tcPr>
          <w:p>
            <w:pPr/>
            <w:r>
              <w:t xml:space="preserve">20–39</w:t>
            </w:r>
          </w:p>
        </w:tc>
        <w:tc>
          <w:tcPr>
            <w:tcW w:w="1872" w:type="dxa"/>
          </w:tcPr>
          <w:p>
            <w:pPr/>
            <w:r>
              <w:t xml:space="preserve">&lt; 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REITs</w:t>
            </w:r>
          </w:p>
        </w:tc>
        <w:tc>
          <w:tcPr>
            <w:tcW w:w="1872" w:type="dxa"/>
          </w:tcPr>
          <w:p>
            <w:pPr/>
            <w:r>
              <w:t xml:space="preserve">FFO por ação</w:t>
            </w:r>
          </w:p>
        </w:tc>
        <w:tc>
          <w:tcPr>
            <w:tcW w:w="1872" w:type="dxa"/>
          </w:tcPr>
          <w:p>
            <w:pPr/>
            <w:r>
              <w:t xml:space="preserve">≥ 5 anos crescendo</w:t>
            </w:r>
          </w:p>
        </w:tc>
        <w:tc>
          <w:tcPr>
            <w:tcW w:w="1872" w:type="dxa"/>
          </w:tcPr>
          <w:p>
            <w:pPr/>
            <w:r>
              <w:t xml:space="preserve">2–4</w:t>
            </w:r>
          </w:p>
        </w:tc>
        <w:tc>
          <w:tcPr>
            <w:tcW w:w="1872" w:type="dxa"/>
          </w:tcPr>
          <w:p>
            <w:pPr/>
            <w:r>
              <w:t xml:space="preserve">&lt;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REITs</w:t>
            </w:r>
          </w:p>
        </w:tc>
        <w:tc>
          <w:tcPr>
            <w:tcW w:w="1872" w:type="dxa"/>
          </w:tcPr>
          <w:p>
            <w:pPr/>
            <w:r>
              <w:t xml:space="preserve">FFO payout</w:t>
            </w:r>
          </w:p>
        </w:tc>
        <w:tc>
          <w:tcPr>
            <w:tcW w:w="1872" w:type="dxa"/>
          </w:tcPr>
          <w:p>
            <w:pPr/>
            <w:r>
              <w:t xml:space="preserve">≤ 80%</w:t>
            </w:r>
          </w:p>
        </w:tc>
        <w:tc>
          <w:tcPr>
            <w:tcW w:w="1872" w:type="dxa"/>
          </w:tcPr>
          <w:p>
            <w:pPr/>
            <w:r>
              <w:t xml:space="preserve">≤ 95%</w:t>
            </w:r>
          </w:p>
        </w:tc>
        <w:tc>
          <w:tcPr>
            <w:tcW w:w="1872" w:type="dxa"/>
          </w:tcPr>
          <w:p>
            <w:pPr/>
            <w:r>
              <w:t xml:space="preserve">&gt; 95%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REITs</w:t>
            </w:r>
          </w:p>
        </w:tc>
        <w:tc>
          <w:tcPr>
            <w:tcW w:w="1872" w:type="dxa"/>
          </w:tcPr>
          <w:p>
            <w:pPr/>
            <w:r>
              <w:t xml:space="preserve">Ocupação</w:t>
            </w:r>
          </w:p>
        </w:tc>
        <w:tc>
          <w:tcPr>
            <w:tcW w:w="1872" w:type="dxa"/>
          </w:tcPr>
          <w:p>
            <w:pPr/>
            <w:r>
              <w:t xml:space="preserve">≥ 95%</w:t>
            </w:r>
          </w:p>
        </w:tc>
        <w:tc>
          <w:tcPr>
            <w:tcW w:w="1872" w:type="dxa"/>
          </w:tcPr>
          <w:p>
            <w:pPr/>
            <w:r>
              <w:t xml:space="preserve">90–95%</w:t>
            </w:r>
          </w:p>
        </w:tc>
        <w:tc>
          <w:tcPr>
            <w:tcW w:w="1872" w:type="dxa"/>
          </w:tcPr>
          <w:p>
            <w:pPr/>
            <w:r>
              <w:t xml:space="preserve">&lt; 90% (ou sem dado = parcial)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REITs</w:t>
            </w:r>
          </w:p>
        </w:tc>
        <w:tc>
          <w:tcPr>
            <w:tcW w:w="1872" w:type="dxa"/>
          </w:tcPr>
          <w:p>
            <w:pPr/>
            <w:r>
              <w:t xml:space="preserve">Endividamento</w:t>
            </w:r>
          </w:p>
        </w:tc>
        <w:tc>
          <w:tcPr>
            <w:tcW w:w="1872" w:type="dxa"/>
          </w:tcPr>
          <w:p>
            <w:pPr/>
            <w:r>
              <w:t xml:space="preserve">Dív/EBITDA ≤ 6×</w:t>
            </w:r>
          </w:p>
        </w:tc>
        <w:tc>
          <w:tcPr>
            <w:tcW w:w="1872" w:type="dxa"/>
          </w:tcPr>
          <w:p>
            <w:pPr/>
            <w:r>
              <w:t xml:space="preserve">≤ 7,5×</w:t>
            </w:r>
          </w:p>
        </w:tc>
        <w:tc>
          <w:tcPr>
            <w:tcW w:w="1872" w:type="dxa"/>
          </w:tcPr>
          <w:p>
            <w:pPr/>
            <w:r>
              <w:t xml:space="preserve">&gt; 7,5×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REITs</w:t>
            </w:r>
          </w:p>
        </w:tc>
        <w:tc>
          <w:tcPr>
            <w:tcW w:w="1872" w:type="dxa"/>
          </w:tcPr>
          <w:p>
            <w:pPr/>
            <w:r>
              <w:t xml:space="preserve">Dividendos</w:t>
            </w:r>
          </w:p>
        </w:tc>
        <w:tc>
          <w:tcPr>
            <w:tcW w:w="1872" w:type="dxa"/>
          </w:tcPr>
          <w:p>
            <w:pPr/>
            <w:r>
              <w:t xml:space="preserve">yield ≥ 4%</w:t>
            </w:r>
          </w:p>
        </w:tc>
        <w:tc>
          <w:tcPr>
            <w:tcW w:w="1872" w:type="dxa"/>
          </w:tcPr>
          <w:p>
            <w:pPr/>
            <w:r>
              <w:t xml:space="preserve">≥ 2%</w:t>
            </w:r>
          </w:p>
        </w:tc>
        <w:tc>
          <w:tcPr>
            <w:tcW w:w="1872" w:type="dxa"/>
          </w:tcPr>
          <w:p>
            <w:pPr/>
            <w:r>
              <w:t xml:space="preserve">&lt; 2%</w:t>
            </w:r>
          </w:p>
        </w:tc>
      </w:tr>
    </w:tbl>
    <w:p>
      <w:pPr/>
      <w:r>
        <w:t xml:space="preserve">FII híbrido: aplicar critérios de tijolo quando imóveis ≥ 50% do PL; caso contrário, papel.</w:t>
      </w:r>
    </w:p>
    <w:p>
      <w:pPr>
        <w:pStyle w:val="Heading3"/>
      </w:pPr>
      <w:r>
        <w:t xml:space="preserve">4.3 Comparador</w:t>
      </w:r>
    </w:p>
    <w:p>
      <w:pPr>
        <w:pStyle w:val="ListParagraph"/>
        <w:numPr>
          <w:ilvl w:val="0"/>
          <w:numId w:val="8"/>
        </w:numPr>
      </w:pPr>
      <w:r>
        <w:t xml:space="preserve">Grupos de linhas por classe — </w:t>
      </w:r>
      <w:r>
        <w:rPr>
          <w:b/>
        </w:rPr>
        <w:t xml:space="preserve">Ações/Stocks:</w:t>
      </w:r>
      <w:r>
        <w:t xml:space="preserve"> Qualidade (lucros seguidos, ROE, margem) · Endividamento · Preço (P/L, P/VP ou P/S) · Dividendos. </w:t>
      </w:r>
      <w:r>
        <w:rPr>
          <w:b/>
        </w:rPr>
        <w:t xml:space="preserve">REITs:</w:t>
      </w:r>
      <w:r>
        <w:t xml:space="preserve"> Geração de caixa (FFO/share, P/FFO, FFO payout) · Qualidade (ocupação, anos de dividendo) · Endividamento · Dividendos. </w:t>
      </w:r>
      <w:r>
        <w:rPr>
          <w:b/>
        </w:rPr>
        <w:t xml:space="preserve">FII tijolo:</w:t>
      </w:r>
      <w:r>
        <w:t xml:space="preserve"> Renda · Preço · Qualidade dos imóveis (padrão construtivo, vacância, nº imóveis, ABL, nº inquilinos, maior inquilino, contratos atípicos, prazo médio) · Tamanho e liquidez. </w:t>
      </w:r>
      <w:r>
        <w:rPr>
          <w:b/>
        </w:rPr>
        <w:t xml:space="preserve">FII papel:</w:t>
      </w:r>
      <w:r>
        <w:t xml:space="preserve"> Renda · Preço · Qualidade dos ativos da carteira (nº CRIs, indexador, taxa média, LTV, inadimplência, high yield, duration) · Tamanho e liquidez. </w:t>
      </w:r>
      <w:r>
        <w:rPr>
          <w:b/>
        </w:rPr>
        <w:t xml:space="preserve">Misto:</w:t>
      </w:r>
      <w:r>
        <w:t xml:space="preserve"> os dois grupos de qualidade, com "n/a".</w:t>
      </w:r>
    </w:p>
    <w:p>
      <w:pPr>
        <w:pStyle w:val="ListParagraph"/>
        <w:numPr>
          <w:ilvl w:val="0"/>
          <w:numId w:val="8"/>
        </w:numPr>
      </w:pPr>
      <w:r>
        <w:t xml:space="preserve">Destaque (★) por linha: maior-é-melhor para ROE, margem, DY, lucros seguidos, ocupação, nº imóveis, ABL, inquilinos, contratos atípicos, prazo médio, nº CRIs, FFO/share, % AAA; menor-é-melhor para P/L, P/VP (tijolo), P/S, P/FFO, payout, vacância, dívida, maior inquilino, LTV, inadimplência, high yield. </w:t>
      </w:r>
      <w:r>
        <w:rPr>
          <w:b/>
        </w:rPr>
        <w:t xml:space="preserve">P/VP em papel:</w:t>
      </w:r>
      <w:r>
        <w:t xml:space="preserve"> destaque = mais próximo de 1,00. Sem destaque em empate ou com menos de 2 valores aplicáveis. Sem direção (nunca destaca): preço, indexador, taxa média, duration, patrimônio, liquidez.</w:t>
      </w:r>
    </w:p>
    <w:p>
      <w:pPr>
        <w:pStyle w:val="ListParagraph"/>
        <w:numPr>
          <w:ilvl w:val="0"/>
          <w:numId w:val="8"/>
        </w:numPr>
      </w:pPr>
      <w:r>
        <w:t xml:space="preserve">Padrão construtivo: barra empilhada AAA / AA / A-B (% da ABL) + texto; destaque pela maior parcela AAA.</w:t>
      </w:r>
    </w:p>
    <w:p>
      <w:pPr>
        <w:pStyle w:val="Heading3"/>
      </w:pPr>
      <w:r>
        <w:t xml:space="preserve">4.4 Ranking da comunidade</w:t>
      </w:r>
    </w:p>
    <w:p>
      <w:pPr>
        <w:pStyle w:val="ListParagraph"/>
        <w:numPr>
          <w:ilvl w:val="0"/>
          <w:numId w:val="9"/>
        </w:numPr>
      </w:pPr>
      <w:r>
        <w:t xml:space="preserve">Voto: 1–5 estrelas + sentimento ("compraria hoje?" sim/não). Um voto por usuário por ativo, editável; expira em 90 dias (o app pergunta "você ainda compraria X hoje?"; sem resposta, o voto sai do cálculo).</w:t>
      </w:r>
    </w:p>
    <w:p>
      <w:pPr>
        <w:pStyle w:val="ListParagraph"/>
        <w:numPr>
          <w:ilvl w:val="0"/>
          <w:numId w:val="9"/>
        </w:numPr>
      </w:pPr>
      <w:r>
        <w:t xml:space="preserve">Peso do voto w: 1,5 se o usuário tem o ativo na carteira na data do voto; 0,5 se a conta tem &lt; 30 dias; 1,0 nos demais casos.</w:t>
      </w:r>
    </w:p>
    <w:p>
      <w:pPr>
        <w:pStyle w:val="ListParagraph"/>
        <w:numPr>
          <w:ilvl w:val="0"/>
          <w:numId w:val="9"/>
        </w:numPr>
      </w:pPr>
      <w:r>
        <w:t xml:space="preserve">Nota bruta r = média ponderada das estrelas; n = soma dos pesos.</w:t>
      </w:r>
    </w:p>
    <w:p>
      <w:pPr>
        <w:pStyle w:val="Code"/>
      </w:pPr>
      <w:bookmarkStart w:id="2" w:name="bongo_lang_latex_2"/>
      <w:bookmarkEnd w:id="2"/>
      <w:r>
        <w:t>Nota_rank = n/(n+m) × r + m/(n+m) × C (m = 200; C = média geral da classe; n = soma dos pesos dos votos)</w:t>
      </w:r>
    </w:p>
    <w:p>
      <w:pPr>
        <w:pStyle w:val="ListParagraph"/>
        <w:numPr>
          <w:ilvl w:val="0"/>
          <w:numId w:val="10"/>
        </w:numPr>
      </w:pPr>
      <w:r>
        <w:t xml:space="preserve">Entra no ranking com n ≥ 200; abaixo disso a tela mostra "poucos votos" e a nota fica fora da ordenação.</w:t>
      </w:r>
    </w:p>
    <w:p>
      <w:pPr>
        <w:pStyle w:val="ListParagraph"/>
        <w:numPr>
          <w:ilvl w:val="0"/>
          <w:numId w:val="10"/>
        </w:numPr>
      </w:pPr>
      <w:r>
        <w:t xml:space="preserve">Variação mensal = posição atual − posição no último dia do mês anterior. "Têm na carteira" = % dos votos válidos com w = 1,5.</w:t>
      </w:r>
    </w:p>
    <w:p>
      <w:pPr>
        <w:pStyle w:val="ListParagraph"/>
        <w:numPr>
          <w:ilvl w:val="0"/>
          <w:numId w:val="10"/>
        </w:numPr>
      </w:pPr>
      <w:r>
        <w:t xml:space="preserve">Índice × comunidade: |nota_comunidade × 2 − Índice MF| ≤ 1,0 → "convergem"; positivo → "comunidade acima da nota"; negativo → "nota acima da comunidade".</w:t>
      </w:r>
    </w:p>
    <w:p>
      <w:pPr>
        <w:pStyle w:val="ListParagraph"/>
        <w:numPr>
          <w:ilvl w:val="0"/>
          <w:numId w:val="10"/>
        </w:numPr>
      </w:pPr>
      <w:r>
        <w:t xml:space="preserve">Anti-manipulação: limite de 20 votos/dia por usuário; detecção de votos em bloco (≥ 30 votos 5★ no mesmo ativo em 1 h de contas com &lt; 90 dias) → quarentena + revisão; auditoria diária; votos de contas banidas removidos retroativamente.</w:t>
      </w:r>
    </w:p>
    <w:p>
      <w:pPr>
        <w:pStyle w:val="ListParagraph"/>
        <w:numPr>
          <w:ilvl w:val="0"/>
          <w:numId w:val="10"/>
        </w:numPr>
      </w:pPr>
      <w:r>
        <w:t xml:space="preserve">Cold start: semear com enquete da audiência Escolhi Ser Rico (votos marcados </w:t>
      </w:r>
      <w:r>
        <w:rPr>
          <w:rStyle w:val="CodeChar"/>
        </w:rPr>
        <w:t xml:space="preserve">origem = enquete</w:t>
      </w:r>
      <w:r>
        <w:t xml:space="preserve">), aplicando as mesmas regras.</w:t>
      </w:r>
    </w:p>
    <w:p>
      <w:pPr>
        <w:pStyle w:val="Heading3"/>
      </w:pPr>
      <w:r>
        <w:t xml:space="preserve">4.5 Valuation (múltiplos e cenários)</w:t>
      </w:r>
    </w:p>
    <w:p>
      <w:pPr/>
      <w:r>
        <w:t xml:space="preserve">O Valuation não emite juízo de preço: mostra onde cada múltiplo está em relação ao próprio histórico e faz contas com premissas do usuário. Regras: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Múltiplo atual</w:t>
      </w:r>
      <w:r>
        <w:t xml:space="preserve"> = cotação de fechamento do dia ÷ métrica dos últimos 12 meses (TTM) por ação/cota; múltiplos de valor da empresa (EV/EBITDA) usam valor de mercado + dívida líquida do último período. Recalculado no job diário de cotações e gravado em </w:t>
      </w:r>
      <w:r>
        <w:rPr>
          <w:rStyle w:val="CodeChar"/>
        </w:rPr>
        <w:t xml:space="preserve">quotes_daily</w:t>
      </w:r>
      <w:r>
        <w:t xml:space="preserve"> (campos derivados).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Histórico de 10 anos</w:t>
      </w:r>
      <w:r>
        <w:t xml:space="preserve"> = cotação de fechamento do último pregão do ano fiscal ÷ métrica daquele ano fiscal (</w:t>
      </w:r>
      <w:r>
        <w:rPr>
          <w:rStyle w:val="CodeChar"/>
        </w:rPr>
        <w:t xml:space="preserve">fundamentals_period</w:t>
      </w:r>
      <w:r>
        <w:t xml:space="preserve">), um ponto por ano, gravado em </w:t>
      </w:r>
      <w:r>
        <w:rPr>
          <w:rStyle w:val="CodeChar"/>
        </w:rPr>
        <w:t xml:space="preserve">multiples_yearly</w:t>
      </w:r>
      <w:r>
        <w:t xml:space="preserve">. A barra mostra mín, média aritmética e máx dos 10 pontos; o marcador é o múltiplo atual. Menos de 5 anos de histórico → barra oculta, só o valor.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Status em texto</w:t>
      </w:r>
      <w:r>
        <w:t xml:space="preserve">: múltiplos e valores → variação percentual vs. média ("+40% vs. média 10a"); percentuais (margens, ROE, DY) → diferença em pontos percentuais; quando a média está entre −0,5 e +0,5 (ex.: dívida líquida negativa) só "acima/abaixo da média 10a". |variação| &lt; 3% ou &lt; 0,15 p.p. → "na média de 10 anos". Igual ao máximo/mínimo → acrescenta "maior/menor em 10 anos".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Referência (setor/índice)</w:t>
      </w:r>
      <w:r>
        <w:t xml:space="preserve"> = mediana dos pares do mesmo segmento (mesma lista da seção 3.2, item Comparação com pares) e do índice da classe (Ibovespa, IFIX, S&amp;P 500), atualizada no mesmo job.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Cenários</w:t>
      </w:r>
      <w:r>
        <w:t xml:space="preserve">: os inputs abrem preenchidos com os dados do ativo (LPA, VPA, DPA, rendimento 12m, VP/cota, FFO/share) e com premissas padrão (yield desejado 6% ações · 3% stocks · 8% FIIs · 5,5% REITs; múltiplo alvo = média de 10 anos; g = 8% ações/stocks, 3% REITs; k = 13% ações, 10% stocks, 8% REITs; margem 20% ações/stocks, 10% FIIs, 15% REITs; renda mensal desejada R$ 1.000). Fórmulas: Bazin = DPA ÷ yield; Graham = √(22,5 × LPA × VPA); múltiplo alvo = P/L (ou P/FFO) alvo × LPA (ou FFO/share); Gordon = DPA × (1+g) ÷ (k − g), inválido quando k ≤ g (mostra "—"); renda desejada (FII) = rendimento 12m ÷ yield; P/VP alvo = P/VP × VP/cota; Meta de renda = ⌈renda × 12 ÷ rendimento 12m⌉ cotas, custo = cotas × cotação, faltam = cotas − posição na carteira. "Com sua margem" = resultado × (1 − margem). "vs. cotação" = resultado ÷ cotação − 1, sem cor semântica.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Sua posição</w:t>
      </w:r>
      <w:r>
        <w:t xml:space="preserve"> (só para ativos na carteira): preço médio ÷ LPA (ou VP/cota, FFO/share) e DPA (ou rendimento 12m) ÷ preço médio (yield sobre custo).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Salvar cenário</w:t>
      </w:r>
      <w:r>
        <w:t xml:space="preserve"> grava as premissas por usuário e ativo em </w:t>
      </w:r>
      <w:r>
        <w:rPr>
          <w:rStyle w:val="CodeChar"/>
        </w:rPr>
        <w:t xml:space="preserve">user_scenarios</w:t>
      </w:r>
      <w:r>
        <w:t xml:space="preserve">; ao reabrir o ativo os inputs voltam com os valores salvos e o link "Restaurar valores do ativo" limpa. Meta de renda pode ser enviada ao Planejamento como objetivo (Fase 2; endpoint </w:t>
      </w:r>
      <w:r>
        <w:rPr>
          <w:rStyle w:val="CodeChar"/>
        </w:rPr>
        <w:t xml:space="preserve">POST /planejamento/objetivos</w:t>
      </w:r>
      <w:r>
        <w:t xml:space="preserve"> já existente).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Linguagem</w:t>
      </w:r>
      <w:r>
        <w:t xml:space="preserve">: as palavras "preço justo", "preço-alvo", "barato", "caro", "desconto" e "oportunidade" são proibidas nesta tela; o rodapé regulatório é fixo (seção 3.2, item Valuation). Os textos de leitura de cada múltiplo são definições e faixas usuais de mercado ("referência usual: até 3×"), nunca avaliação do ativo.</w:t>
      </w:r>
    </w:p>
    <w:p>
      <w:pPr/>
      <w:r>
        <w:rPr>
          <w:b/>
        </w:rPr>
        <w:t xml:space="preserve">Origem dos métodos (para o Dev entender o porquê, não só o como).</w:t>
      </w:r>
      <w:r>
        <w:t xml:space="preserve"> Graham: √(22,5 × LPA × VPA), de Benjamin Graham em </w:t>
      </w:r>
      <w:r>
        <w:rPr>
          <w:i/>
        </w:rPr>
        <w:t xml:space="preserve">O Investidor Inteligente</w:t>
      </w:r>
      <w:r>
        <w:t xml:space="preserve"> — 22,5 = P/L 15 × P/VP 1,5, os limites que ele propôs para uma ação "defensiva". Bazin: preço-teto = dividendo ÷ yield mínimo, de Décio Bazin em </w:t>
      </w:r>
      <w:r>
        <w:rPr>
          <w:i/>
        </w:rPr>
        <w:t xml:space="preserve">Faça Fortuna com Ações</w:t>
      </w:r>
      <w:r>
        <w:t xml:space="preserve">; o 6% era a referência de juros da época, por isso é um padrão editável. Gordon: modelo de desconto de dividendos em um estágio (Gordon, 1959), P = D₁ ÷ (k − g), com D₁ = dividendo atual × (1 + g). Múltiplo alvo, renda desejada, P/VP alvo e Meta de renda são aritmética direta. Nenhum método é previsão de preço: são contas de referência, e a tela os apresenta como "Meus cenários".</w:t>
      </w:r>
    </w:p>
    <w:p>
      <w:pPr/>
      <w:r>
        <w:rPr>
          <w:b/>
        </w:rPr>
        <w:t xml:space="preserve">Unidades, arredondamento e validação dos inputs.</w:t>
      </w:r>
      <w:r>
        <w:t xml:space="preserve"> Percentuais entram como número percentual (6 significa 6%) e são divididos por 100 no cálculo; aceitar vírgula ou ponto como separador decimal. Resultados monetários com 2 casas; "vs. cotação" em inteiro (%); status da barra com 0 casas em % e 1 casa em p.p.; multiplicadores com 1 casa (P/L, P/FFO) ou 2 (P/VP). Meta de renda arredonda cotas para cima (⌈ ⌉). Limites: yield 0,1–30%; g 0–20%; k 1–30%; k ≤ g → Gordon mostra "—"; yield ≤ 0 → Bazin/renda desejada mostram "—"; LPA ≤ 0 ou VPA ≤ 0 → Graham mostra "—"; margem 0–50% em passos de 5. Dados do ativo que não existem (ex.: empresa sem dividendo) vêm em branco e o método correspondente fica "—". Nunca lançar exceção na tela: todo caso inválido vira "—".</w:t>
      </w:r>
    </w:p>
    <w:p>
      <w:pPr>
        <w:pStyle w:val="Heading3"/>
      </w:pPr>
      <w:r>
        <w:t xml:space="preserve">4.6 Casos de teste do Valuation</w:t>
      </w:r>
    </w:p>
    <w:p>
      <w:pPr/>
      <w:r>
        <w:t xml:space="preserve">Usar como testes unitários das fórmulas e dos status; os dados são os do protótipo (WEGE3 cotação 52,30 · HGLG11 158,20 · O 58,40). A implementação está aceita quando todos os casos abaixo passam.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Bazin (ação)</w:t>
            </w:r>
          </w:p>
        </w:tc>
        <w:tc>
          <w:tcPr>
            <w:tcW w:w="2340" w:type="dxa"/>
          </w:tcPr>
          <w:p>
            <w:pPr/>
            <w:r>
              <w:t xml:space="preserve">DPA 0,84 · yield 6%</w:t>
            </w:r>
          </w:p>
        </w:tc>
        <w:tc>
          <w:tcPr>
            <w:tcW w:w="2340" w:type="dxa"/>
          </w:tcPr>
          <w:p>
            <w:pPr/>
            <w:r>
              <w:t xml:space="preserve">R$ 14,00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Graham</w:t>
            </w:r>
          </w:p>
        </w:tc>
        <w:tc>
          <w:tcPr>
            <w:tcW w:w="2340" w:type="dxa"/>
          </w:tcPr>
          <w:p>
            <w:pPr/>
            <w:r>
              <w:t xml:space="preserve">LPA 1,64 · VPA 5,59</w:t>
            </w:r>
          </w:p>
        </w:tc>
        <w:tc>
          <w:tcPr>
            <w:tcW w:w="2340" w:type="dxa"/>
          </w:tcPr>
          <w:p>
            <w:pPr/>
            <w:r>
              <w:t xml:space="preserve">R$ 14,36 (√206,27)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Múltiplo alvo</w:t>
            </w:r>
          </w:p>
        </w:tc>
        <w:tc>
          <w:tcPr>
            <w:tcW w:w="2340" w:type="dxa"/>
          </w:tcPr>
          <w:p>
            <w:pPr/>
            <w:r>
              <w:t xml:space="preserve">P/L alvo 22,3 · LPA 1,64</w:t>
            </w:r>
          </w:p>
        </w:tc>
        <w:tc>
          <w:tcPr>
            <w:tcW w:w="2340" w:type="dxa"/>
          </w:tcPr>
          <w:p>
            <w:pPr/>
            <w:r>
              <w:t xml:space="preserve">R$ 36,57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Gordon</w:t>
            </w:r>
          </w:p>
        </w:tc>
        <w:tc>
          <w:tcPr>
            <w:tcW w:w="2340" w:type="dxa"/>
          </w:tcPr>
          <w:p>
            <w:pPr/>
            <w:r>
              <w:t xml:space="preserve">DPA 0,84 · g 8% · k 13%</w:t>
            </w:r>
          </w:p>
        </w:tc>
        <w:tc>
          <w:tcPr>
            <w:tcW w:w="2340" w:type="dxa"/>
          </w:tcPr>
          <w:p>
            <w:pPr/>
            <w:r>
              <w:t xml:space="preserve">R$ 18,14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Gordon inválido</w:t>
            </w:r>
          </w:p>
        </w:tc>
        <w:tc>
          <w:tcPr>
            <w:tcW w:w="2340" w:type="dxa"/>
          </w:tcPr>
          <w:p>
            <w:pPr/>
            <w:r>
              <w:t xml:space="preserve">DPA 0,84 · g 13% · k 13%</w:t>
            </w:r>
          </w:p>
        </w:tc>
        <w:tc>
          <w:tcPr>
            <w:tcW w:w="2340" w:type="dxa"/>
          </w:tcPr>
          <w:p>
            <w:pPr/>
            <w:r>
              <w:t xml:space="preserve">"—" (k ≤ 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Yield zero</w:t>
            </w:r>
          </w:p>
        </w:tc>
        <w:tc>
          <w:tcPr>
            <w:tcW w:w="2340" w:type="dxa"/>
          </w:tcPr>
          <w:p>
            <w:pPr/>
            <w:r>
              <w:t xml:space="preserve">DPA 0,84 · yield 0%</w:t>
            </w:r>
          </w:p>
        </w:tc>
        <w:tc>
          <w:tcPr>
            <w:tcW w:w="2340" w:type="dxa"/>
          </w:tcPr>
          <w:p>
            <w:pPr/>
            <w:r>
              <w:t xml:space="preserve">"—"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Graham com prejuízo</w:t>
            </w:r>
          </w:p>
        </w:tc>
        <w:tc>
          <w:tcPr>
            <w:tcW w:w="2340" w:type="dxa"/>
          </w:tcPr>
          <w:p>
            <w:pPr/>
            <w:r>
              <w:t xml:space="preserve">LPA −0,50 · VPA 5,59</w:t>
            </w:r>
          </w:p>
        </w:tc>
        <w:tc>
          <w:tcPr>
            <w:tcW w:w="2340" w:type="dxa"/>
          </w:tcPr>
          <w:p>
            <w:pPr/>
            <w:r>
              <w:t xml:space="preserve">"—"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vs. cotação e margem</w:t>
            </w:r>
          </w:p>
        </w:tc>
        <w:tc>
          <w:tcPr>
            <w:tcW w:w="2340" w:type="dxa"/>
          </w:tcPr>
          <w:p>
            <w:pPr/>
            <w:r>
              <w:t xml:space="preserve">resultado 14,00 · cotação 52,30 · margem 20%</w:t>
            </w:r>
          </w:p>
        </w:tc>
        <w:tc>
          <w:tcPr>
            <w:tcW w:w="2340" w:type="dxa"/>
          </w:tcPr>
          <w:p>
            <w:pPr/>
            <w:r>
              <w:t xml:space="preserve">−73% · R$ 11,20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Renda desejada (FII)</w:t>
            </w:r>
          </w:p>
        </w:tc>
        <w:tc>
          <w:tcPr>
            <w:tcW w:w="2340" w:type="dxa"/>
          </w:tcPr>
          <w:p>
            <w:pPr/>
            <w:r>
              <w:t xml:space="preserve">rendimento 12m 13,20 · yield 8%</w:t>
            </w:r>
          </w:p>
        </w:tc>
        <w:tc>
          <w:tcPr>
            <w:tcW w:w="2340" w:type="dxa"/>
          </w:tcPr>
          <w:p>
            <w:pPr/>
            <w:r>
              <w:t xml:space="preserve">R$ 165,00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P/VP alvo (FII)</w:t>
            </w:r>
          </w:p>
        </w:tc>
        <w:tc>
          <w:tcPr>
            <w:tcW w:w="2340" w:type="dxa"/>
          </w:tcPr>
          <w:p>
            <w:pPr/>
            <w:r>
              <w:t xml:space="preserve">P/VP 1,00 · VP/cota 163,10</w:t>
            </w:r>
          </w:p>
        </w:tc>
        <w:tc>
          <w:tcPr>
            <w:tcW w:w="2340" w:type="dxa"/>
          </w:tcPr>
          <w:p>
            <w:pPr/>
            <w:r>
              <w:t xml:space="preserve">R$ 163,10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Meta de renda (FII)</w:t>
            </w:r>
          </w:p>
        </w:tc>
        <w:tc>
          <w:tcPr>
            <w:tcW w:w="2340" w:type="dxa"/>
          </w:tcPr>
          <w:p>
            <w:pPr/>
            <w:r>
              <w:t xml:space="preserve">R$ 1.000/mês · rendimento 13,20 · cotação 158,20 · posição 40 cotas</w:t>
            </w:r>
          </w:p>
        </w:tc>
        <w:tc>
          <w:tcPr>
            <w:tcW w:w="2340" w:type="dxa"/>
          </w:tcPr>
          <w:p>
            <w:pPr/>
            <w:r>
              <w:t xml:space="preserve">910 cotas · R$ 143.962,00 · faltam 870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Sua posição (ação)</w:t>
            </w:r>
          </w:p>
        </w:tc>
        <w:tc>
          <w:tcPr>
            <w:tcW w:w="2340" w:type="dxa"/>
          </w:tcPr>
          <w:p>
            <w:pPr/>
            <w:r>
              <w:t xml:space="preserve">PM 38,60 · LPA 1,64 · DPA 0,84</w:t>
            </w:r>
          </w:p>
        </w:tc>
        <w:tc>
          <w:tcPr>
            <w:tcW w:w="2340" w:type="dxa"/>
          </w:tcPr>
          <w:p>
            <w:pPr/>
            <w:r>
              <w:t xml:space="preserve">P/L 23,5 · yield sobre custo 2,2%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Sua posição (FII)</w:t>
            </w:r>
          </w:p>
        </w:tc>
        <w:tc>
          <w:tcPr>
            <w:tcW w:w="2340" w:type="dxa"/>
          </w:tcPr>
          <w:p>
            <w:pPr/>
            <w:r>
              <w:t xml:space="preserve">PM 151,40 · VP/cota 163,10 · rendimento 13,20</w:t>
            </w:r>
          </w:p>
        </w:tc>
        <w:tc>
          <w:tcPr>
            <w:tcW w:w="2340" w:type="dxa"/>
          </w:tcPr>
          <w:p>
            <w:pPr/>
            <w:r>
              <w:t xml:space="preserve">P/VP 0,93 · rendimento sobre custo 8,7%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P/FFO alvo (REIT)</w:t>
            </w:r>
          </w:p>
        </w:tc>
        <w:tc>
          <w:tcPr>
            <w:tcW w:w="2340" w:type="dxa"/>
          </w:tcPr>
          <w:p>
            <w:pPr/>
            <w:r>
              <w:t xml:space="preserve">P/FFO 17,6 · FFO/share 4,19</w:t>
            </w:r>
          </w:p>
        </w:tc>
        <w:tc>
          <w:tcPr>
            <w:tcW w:w="2340" w:type="dxa"/>
          </w:tcPr>
          <w:p>
            <w:pPr/>
            <w:r>
              <w:t xml:space="preserve">US$ 73,74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Bazin (REIT)</w:t>
            </w:r>
          </w:p>
        </w:tc>
        <w:tc>
          <w:tcPr>
            <w:tcW w:w="2340" w:type="dxa"/>
          </w:tcPr>
          <w:p>
            <w:pPr/>
            <w:r>
              <w:t xml:space="preserve">DPS 3,16 · yield 5,5%</w:t>
            </w:r>
          </w:p>
        </w:tc>
        <w:tc>
          <w:tcPr>
            <w:tcW w:w="2340" w:type="dxa"/>
          </w:tcPr>
          <w:p>
            <w:pPr/>
            <w:r>
              <w:t xml:space="preserve">US$ 57,45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Gordon (REIT)</w:t>
            </w:r>
          </w:p>
        </w:tc>
        <w:tc>
          <w:tcPr>
            <w:tcW w:w="2340" w:type="dxa"/>
          </w:tcPr>
          <w:p>
            <w:pPr/>
            <w:r>
              <w:t xml:space="preserve">DPS 3,16 · g 3% · k 8%</w:t>
            </w:r>
          </w:p>
        </w:tc>
        <w:tc>
          <w:tcPr>
            <w:tcW w:w="2340" w:type="dxa"/>
          </w:tcPr>
          <w:p>
            <w:pPr/>
            <w:r>
              <w:t xml:space="preserve">US$ 65,10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Barra — múltiplo</w:t>
            </w:r>
          </w:p>
        </w:tc>
        <w:tc>
          <w:tcPr>
            <w:tcW w:w="2340" w:type="dxa"/>
          </w:tcPr>
          <w:p>
            <w:pPr/>
            <w:r>
              <w:t xml:space="preserve">P/L atual 31,2 · histórico 15,8 · 19,4 · 21,0 · 27,4 · 35,1 · 21,9 · 19,3 · 13,4 · 18,1 · 31,2</w:t>
            </w:r>
          </w:p>
        </w:tc>
        <w:tc>
          <w:tcPr>
            <w:tcW w:w="2340" w:type="dxa"/>
          </w:tcPr>
          <w:p>
            <w:pPr/>
            <w:r>
              <w:t xml:space="preserve">mín 13,4 · média 22,3 · máx 35,1 · "+40% vs. média 10a" (sem "maior em 10 anos")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Barra — percentual</w:t>
            </w:r>
          </w:p>
        </w:tc>
        <w:tc>
          <w:tcPr>
            <w:tcW w:w="2340" w:type="dxa"/>
          </w:tcPr>
          <w:p>
            <w:pPr/>
            <w:r>
              <w:t xml:space="preserve">ROE atual 29,4 · histórico 18,2 · 17,9 · 18,7 · 20,1 · 24,7 · 30,2 · 29,8 · 32,1 · 30,3 · 29,4</w:t>
            </w:r>
          </w:p>
        </w:tc>
        <w:tc>
          <w:tcPr>
            <w:tcW w:w="2340" w:type="dxa"/>
          </w:tcPr>
          <w:p>
            <w:pPr/>
            <w:r>
              <w:t xml:space="preserve">média 25,1 · "+4,3 p.p. vs. média 10a"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Barra — média perto de zero</w:t>
            </w:r>
          </w:p>
        </w:tc>
        <w:tc>
          <w:tcPr>
            <w:tcW w:w="2340" w:type="dxa"/>
          </w:tcPr>
          <w:p>
            <w:pPr/>
            <w:r>
              <w:t xml:space="preserve">dív.líq/EBITDA atual −0,50 · média −0,30</w:t>
            </w:r>
          </w:p>
        </w:tc>
        <w:tc>
          <w:tcPr>
            <w:tcW w:w="2340" w:type="dxa"/>
          </w:tcPr>
          <w:p>
            <w:pPr/>
            <w:r>
              <w:t xml:space="preserve">"abaixo da média 10a" (sem percentual) · "menor em 10 anos"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Barra — na média</w:t>
            </w:r>
          </w:p>
        </w:tc>
        <w:tc>
          <w:tcPr>
            <w:tcW w:w="2340" w:type="dxa"/>
          </w:tcPr>
          <w:p>
            <w:pPr/>
            <w:r>
              <w:t xml:space="preserve">valor 22,5 · média 22,3 (variação de 0,9%, menor que 3%)</w:t>
            </w:r>
          </w:p>
        </w:tc>
        <w:tc>
          <w:tcPr>
            <w:tcW w:w="2340" w:type="dxa"/>
          </w:tcPr>
          <w:p>
            <w:pPr/>
            <w:r>
              <w:t xml:space="preserve">"na média de 10 anos"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Histórico curto</w:t>
            </w:r>
          </w:p>
        </w:tc>
        <w:tc>
          <w:tcPr>
            <w:tcW w:w="2340" w:type="dxa"/>
          </w:tcPr>
          <w:p>
            <w:pPr/>
            <w:r>
              <w:t xml:space="preserve">4 anos de dados</w:t>
            </w:r>
          </w:p>
        </w:tc>
        <w:tc>
          <w:tcPr>
            <w:tcW w:w="2340" w:type="dxa"/>
          </w:tcPr>
          <w:p>
            <w:pPr/>
            <w:r>
              <w:t xml:space="preserve">barra oculta; só o valor e a referência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Salvar cenário</w:t>
            </w:r>
          </w:p>
        </w:tc>
        <w:tc>
          <w:tcPr>
            <w:tcW w:w="2340" w:type="dxa"/>
          </w:tcPr>
          <w:p>
            <w:pPr/>
            <w:r>
              <w:t xml:space="preserve">alterar yield para 4%, salvar, sair e reabrir o ativo</w:t>
            </w:r>
          </w:p>
        </w:tc>
        <w:tc>
          <w:tcPr>
            <w:tcW w:w="2340" w:type="dxa"/>
          </w:tcPr>
          <w:p>
            <w:pPr/>
            <w:r>
              <w:t xml:space="preserve">inputs voltam com yield 4%; "Restaurar valores do ativo" devolve 6% e apaga o registro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Linguagem</w:t>
            </w:r>
          </w:p>
        </w:tc>
        <w:tc>
          <w:tcPr>
            <w:tcW w:w="2340" w:type="dxa"/>
          </w:tcPr>
          <w:p>
            <w:pPr/>
            <w:r>
              <w:t xml:space="preserve">varredura de strings da tela</w:t>
            </w:r>
          </w:p>
        </w:tc>
        <w:tc>
          <w:tcPr>
            <w:tcW w:w="2340" w:type="dxa"/>
          </w:tcPr>
          <w:p>
            <w:pPr/>
            <w:r>
              <w:t xml:space="preserve">nenhuma ocorrência de "preço justo", "preço-alvo", "barato", "caro", "desconto", "oportunidade"</w:t>
            </w:r>
          </w:p>
        </w:tc>
      </w:tr>
    </w:tbl>
    <w:p>
      <w:pPr/>
      <w:r>
        <w:t xml:space="preserve">Critério de arredondamento nos testes: comparar com tolerância de 0,005 nos valores monetários e 0,5 nos percentuais inteiros.</w:t>
      </w:r>
    </w:p>
    <w:p>
      <w:pPr>
        <w:pStyle w:val="Heading2"/>
      </w:pPr>
      <w:r>
        <w:t xml:space="preserve">5. Modelo de dados</w:t>
      </w:r>
    </w:p>
    <w:p>
      <w:pPr/>
      <w:r>
        <w:t xml:space="preserve">As entidades abaixo cobrem a área (o Raio-X lê `financial_statements`, uma linha por ativo, período e indicador, com grupo e formato); todas as tabelas de fundamentos são </w:t>
      </w:r>
      <w:r>
        <w:rPr>
          <w:b/>
        </w:rPr>
        <w:t xml:space="preserve">point-in-time</w:t>
      </w:r>
      <w:r>
        <w:t xml:space="preserve"> (uma linha por ativo e período, nunca sobrescrita) e toda linha carrega proveniência (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source_url</w:t>
      </w:r>
      <w:r>
        <w:t xml:space="preserve">, </w:t>
      </w:r>
      <w:r>
        <w:rPr>
          <w:rStyle w:val="CodeChar"/>
        </w:rPr>
        <w:t xml:space="preserve">fetched_at</w:t>
      </w:r>
      <w:r>
        <w:t xml:space="preserve">, </w:t>
      </w:r>
      <w:r>
        <w:rPr>
          <w:rStyle w:val="CodeChar"/>
        </w:rPr>
        <w:t xml:space="preserve">reviewed_by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ticker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class</w:t>
            </w:r>
            <w:r>
              <w:t xml:space="preserve"> (acao / fii / stock / reit), </w:t>
            </w:r>
            <w:r>
              <w:rPr>
                <w:rStyle w:val="CodeChar"/>
              </w:rPr>
              <w:t xml:space="preserve">exchange</w:t>
            </w:r>
            <w:r>
              <w:t xml:space="preserve">, </w:t>
            </w:r>
            <w:r>
              <w:rPr>
                <w:rStyle w:val="CodeChar"/>
              </w:rPr>
              <w:t xml:space="preserve">currency</w:t>
            </w:r>
            <w:r>
              <w:t xml:space="preserve">, </w:t>
            </w:r>
            <w:r>
              <w:rPr>
                <w:rStyle w:val="CodeChar"/>
              </w:rPr>
              <w:t xml:space="preserve">sector</w:t>
            </w:r>
            <w:r>
              <w:t xml:space="preserve">, </w:t>
            </w:r>
            <w:r>
              <w:rPr>
                <w:rStyle w:val="CodeChar"/>
              </w:rPr>
              <w:t xml:space="preserve">segment</w:t>
            </w:r>
            <w:r>
              <w:t xml:space="preserve">, </w:t>
            </w:r>
            <w:r>
              <w:rPr>
                <w:rStyle w:val="CodeChar"/>
              </w:rPr>
              <w:t xml:space="preserve">tags[]</w:t>
            </w:r>
            <w:r>
              <w:t xml:space="preserve">, </w:t>
            </w:r>
            <w:r>
              <w:rPr>
                <w:rStyle w:val="CodeChar"/>
              </w:rPr>
              <w:t xml:space="preserve">fii_type</w:t>
            </w:r>
            <w:r>
              <w:t xml:space="preserve"> (tijolo / papel / hibrido), </w:t>
            </w:r>
            <w:r>
              <w:rPr>
                <w:rStyle w:val="CodeChar"/>
              </w:rPr>
              <w:t xml:space="preserve">reit_type</w:t>
            </w:r>
            <w:r>
              <w:t xml:space="preserve">, </w:t>
            </w:r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liquidity_avg_30d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quotes_daily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</w:t>
            </w:r>
            <w:r>
              <w:t xml:space="preserve">, </w:t>
            </w:r>
            <w:r>
              <w:rPr>
                <w:rStyle w:val="CodeChar"/>
              </w:rPr>
              <w:t xml:space="preserve">change</w:t>
            </w:r>
            <w:r>
              <w:t xml:space="preserve">, </w:t>
            </w:r>
            <w:r>
              <w:rPr>
                <w:rStyle w:val="CodeChar"/>
              </w:rPr>
              <w:t xml:space="preserve">change_pct</w:t>
            </w:r>
            <w:r>
              <w:t xml:space="preserve">, </w:t>
            </w:r>
            <w:r>
              <w:rPr>
                <w:rStyle w:val="CodeChar"/>
              </w:rPr>
              <w:t xml:space="preserve">volume</w:t>
            </w:r>
            <w:r>
              <w:t xml:space="preserve">; derivados: </w:t>
            </w:r>
            <w:r>
              <w:rPr>
                <w:rStyle w:val="CodeChar"/>
              </w:rPr>
              <w:t xml:space="preserve">pl</w:t>
            </w:r>
            <w:r>
              <w:t xml:space="preserve">, </w:t>
            </w:r>
            <w:r>
              <w:rPr>
                <w:rStyle w:val="CodeChar"/>
              </w:rPr>
              <w:t xml:space="preserve">pvp</w:t>
            </w:r>
            <w:r>
              <w:t xml:space="preserve">, </w:t>
            </w:r>
            <w:r>
              <w:rPr>
                <w:rStyle w:val="CodeChar"/>
              </w:rPr>
              <w:t xml:space="preserve">ps</w:t>
            </w:r>
            <w:r>
              <w:t xml:space="preserve">, </w:t>
            </w:r>
            <w:r>
              <w:rPr>
                <w:rStyle w:val="CodeChar"/>
              </w:rPr>
              <w:t xml:space="preserve">pffo</w:t>
            </w:r>
            <w:r>
              <w:t xml:space="preserve">, </w:t>
            </w:r>
            <w:r>
              <w:rPr>
                <w:rStyle w:val="CodeChar"/>
              </w:rPr>
              <w:t xml:space="preserve">dy_12m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fundamentals_period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period</w:t>
            </w:r>
            <w:r>
              <w:t xml:space="preserve"> (ano ou trimestre)</w:t>
            </w:r>
          </w:p>
        </w:tc>
        <w:tc>
          <w:tcPr>
            <w:tcW w:w="3120" w:type="dxa"/>
          </w:tcPr>
          <w:p>
            <w:pPr/>
            <w:r>
              <w:t xml:space="preserve">ações/stocks: </w:t>
            </w:r>
            <w:r>
              <w:rPr>
                <w:rStyle w:val="CodeChar"/>
              </w:rPr>
              <w:t xml:space="preserve">revenue</w:t>
            </w:r>
            <w:r>
              <w:t xml:space="preserve">, </w:t>
            </w:r>
            <w:r>
              <w:rPr>
                <w:rStyle w:val="CodeChar"/>
              </w:rPr>
              <w:t xml:space="preserve">net_income</w:t>
            </w:r>
            <w:r>
              <w:t xml:space="preserve">, </w:t>
            </w:r>
            <w:r>
              <w:rPr>
                <w:rStyle w:val="CodeChar"/>
              </w:rPr>
              <w:t xml:space="preserve">ebitda</w:t>
            </w:r>
            <w:r>
              <w:t xml:space="preserve">, </w:t>
            </w:r>
            <w:r>
              <w:rPr>
                <w:rStyle w:val="CodeChar"/>
              </w:rPr>
              <w:t xml:space="preserve">equity</w:t>
            </w:r>
            <w:r>
              <w:t xml:space="preserve">, </w:t>
            </w:r>
            <w:r>
              <w:rPr>
                <w:rStyle w:val="CodeChar"/>
              </w:rPr>
              <w:t xml:space="preserve">net_debt</w:t>
            </w:r>
            <w:r>
              <w:t xml:space="preserve">, </w:t>
            </w:r>
            <w:r>
              <w:rPr>
                <w:rStyle w:val="CodeChar"/>
              </w:rPr>
              <w:t xml:space="preserve">roe</w:t>
            </w:r>
            <w:r>
              <w:t xml:space="preserve">, </w:t>
            </w:r>
            <w:r>
              <w:rPr>
                <w:rStyle w:val="CodeChar"/>
              </w:rPr>
              <w:t xml:space="preserve">net_margin</w:t>
            </w:r>
            <w:r>
              <w:t xml:space="preserve">, </w:t>
            </w:r>
            <w:r>
              <w:rPr>
                <w:rStyle w:val="CodeChar"/>
              </w:rPr>
              <w:t xml:space="preserve">eps</w:t>
            </w:r>
            <w:r>
              <w:t xml:space="preserve">, </w:t>
            </w:r>
            <w:r>
              <w:rPr>
                <w:rStyle w:val="CodeChar"/>
              </w:rPr>
              <w:t xml:space="preserve">dps</w:t>
            </w:r>
            <w:r>
              <w:t xml:space="preserve">, </w:t>
            </w:r>
            <w:r>
              <w:rPr>
                <w:rStyle w:val="CodeChar"/>
              </w:rPr>
              <w:t xml:space="preserve">payout</w:t>
            </w:r>
            <w:r>
              <w:t xml:space="preserve">, </w:t>
            </w:r>
            <w:r>
              <w:rPr>
                <w:rStyle w:val="CodeChar"/>
              </w:rPr>
              <w:t xml:space="preserve">shares_outstanding</w:t>
            </w:r>
            <w:r>
              <w:t xml:space="preserve">; REITs: </w:t>
            </w:r>
            <w:r>
              <w:rPr>
                <w:rStyle w:val="CodeChar"/>
              </w:rPr>
              <w:t xml:space="preserve">ffo</w:t>
            </w:r>
            <w:r>
              <w:t xml:space="preserve">, </w:t>
            </w:r>
            <w:r>
              <w:rPr>
                <w:rStyle w:val="CodeChar"/>
              </w:rPr>
              <w:t xml:space="preserve">ffo_per_share</w:t>
            </w:r>
            <w:r>
              <w:t xml:space="preserve">, </w:t>
            </w:r>
            <w:r>
              <w:rPr>
                <w:rStyle w:val="CodeChar"/>
              </w:rPr>
              <w:t xml:space="preserve">affo_per_share</w:t>
            </w:r>
            <w:r>
              <w:t xml:space="preserve">, </w:t>
            </w:r>
            <w:r>
              <w:rPr>
                <w:rStyle w:val="CodeChar"/>
              </w:rPr>
              <w:t xml:space="preserve">occupancy</w:t>
            </w:r>
            <w:r>
              <w:t xml:space="preserve">, </w:t>
            </w:r>
            <w:r>
              <w:rPr>
                <w:rStyle w:val="CodeChar"/>
              </w:rPr>
              <w:t xml:space="preserve">debt_ebitda</w:t>
            </w:r>
            <w:r>
              <w:t xml:space="preserve">, </w:t>
            </w:r>
            <w:r>
              <w:rPr>
                <w:rStyle w:val="CodeChar"/>
              </w:rPr>
              <w:t xml:space="preserve">dividend_per_share</w:t>
            </w:r>
            <w:r>
              <w:t xml:space="preserve">; FIIs: </w:t>
            </w:r>
            <w:r>
              <w:rPr>
                <w:rStyle w:val="CodeChar"/>
              </w:rPr>
              <w:t xml:space="preserve">nav_per_share</w:t>
            </w:r>
            <w:r>
              <w:t xml:space="preserve">, </w:t>
            </w:r>
            <w:r>
              <w:rPr>
                <w:rStyle w:val="CodeChar"/>
              </w:rPr>
              <w:t xml:space="preserve">net_worth</w:t>
            </w:r>
            <w:r>
              <w:t xml:space="preserve">, </w:t>
            </w:r>
            <w:r>
              <w:rPr>
                <w:rStyle w:val="CodeChar"/>
              </w:rPr>
              <w:t xml:space="preserve">shareholders</w:t>
            </w:r>
            <w:r>
              <w:t xml:space="preserve">, </w:t>
            </w:r>
            <w:r>
              <w:rPr>
                <w:rStyle w:val="CodeChar"/>
              </w:rPr>
              <w:t xml:space="preserve">income_per_share</w:t>
            </w:r>
            <w:r>
              <w:t xml:space="preserve">, </w:t>
            </w:r>
            <w:r>
              <w:rPr>
                <w:rStyle w:val="CodeChar"/>
              </w:rPr>
              <w:t xml:space="preserve">vacancy_physical</w:t>
            </w:r>
            <w:r>
              <w:t xml:space="preserve">, </w:t>
            </w:r>
            <w:r>
              <w:rPr>
                <w:rStyle w:val="CodeChar"/>
              </w:rPr>
              <w:t xml:space="preserve">vacancy_financial</w:t>
            </w:r>
            <w:r>
              <w:t xml:space="preserve">, </w:t>
            </w:r>
            <w:r>
              <w:rPr>
                <w:rStyle w:val="CodeChar"/>
              </w:rPr>
              <w:t xml:space="preserve">properties_count</w:t>
            </w:r>
            <w:r>
              <w:t xml:space="preserve">, </w:t>
            </w:r>
            <w:r>
              <w:rPr>
                <w:rStyle w:val="CodeChar"/>
              </w:rPr>
              <w:t xml:space="preserve">gla_m2</w:t>
            </w:r>
            <w:r>
              <w:t xml:space="preserve">, </w:t>
            </w:r>
            <w:r>
              <w:rPr>
                <w:rStyle w:val="CodeChar"/>
              </w:rPr>
              <w:t xml:space="preserve">leverage_pct</w:t>
            </w:r>
            <w:r>
              <w:t xml:space="preserve">, </w:t>
            </w:r>
            <w:r>
              <w:rPr>
                <w:rStyle w:val="CodeChar"/>
              </w:rPr>
              <w:t xml:space="preserve">admin_fee</w:t>
            </w:r>
            <w:r>
              <w:t xml:space="preserve">, </w:t>
            </w:r>
            <w:r>
              <w:rPr>
                <w:rStyle w:val="CodeChar"/>
              </w:rPr>
              <w:t xml:space="preserve">cap_rate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fii_property_quality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period</w:t>
            </w:r>
          </w:p>
        </w:tc>
        <w:tc>
          <w:tcPr>
            <w:tcW w:w="3120" w:type="dxa"/>
          </w:tcPr>
          <w:p>
            <w:pPr/>
            <w:r>
              <w:t xml:space="preserve">tijolo: </w:t>
            </w:r>
            <w:r>
              <w:rPr>
                <w:rStyle w:val="CodeChar"/>
              </w:rPr>
              <w:t xml:space="preserve">pad_aaa_pct</w:t>
            </w:r>
            <w:r>
              <w:t xml:space="preserve">, </w:t>
            </w:r>
            <w:r>
              <w:rPr>
                <w:rStyle w:val="CodeChar"/>
              </w:rPr>
              <w:t xml:space="preserve">pad_aa_pct</w:t>
            </w:r>
            <w:r>
              <w:t xml:space="preserve">, </w:t>
            </w:r>
            <w:r>
              <w:rPr>
                <w:rStyle w:val="CodeChar"/>
              </w:rPr>
              <w:t xml:space="preserve">pad_a_pct</w:t>
            </w:r>
            <w:r>
              <w:t xml:space="preserve">, </w:t>
            </w:r>
            <w:r>
              <w:rPr>
                <w:rStyle w:val="CodeChar"/>
              </w:rPr>
              <w:t xml:space="preserve">tenants_count</w:t>
            </w:r>
            <w:r>
              <w:t xml:space="preserve">, </w:t>
            </w:r>
            <w:r>
              <w:rPr>
                <w:rStyle w:val="CodeChar"/>
              </w:rPr>
              <w:t xml:space="preserve">top_tenant_pct</w:t>
            </w:r>
            <w:r>
              <w:t xml:space="preserve">, </w:t>
            </w:r>
            <w:r>
              <w:rPr>
                <w:rStyle w:val="CodeChar"/>
              </w:rPr>
              <w:t xml:space="preserve">atypical_pct</w:t>
            </w:r>
            <w:r>
              <w:t xml:space="preserve">, </w:t>
            </w:r>
            <w:r>
              <w:rPr>
                <w:rStyle w:val="CodeChar"/>
              </w:rPr>
              <w:t xml:space="preserve">avg_lease_years</w:t>
            </w:r>
            <w:r>
              <w:t xml:space="preserve">; papel: </w:t>
            </w:r>
            <w:r>
              <w:rPr>
                <w:rStyle w:val="CodeChar"/>
              </w:rPr>
              <w:t xml:space="preserve">cri_count</w:t>
            </w:r>
            <w:r>
              <w:t xml:space="preserve">, </w:t>
            </w:r>
            <w:r>
              <w:rPr>
                <w:rStyle w:val="CodeChar"/>
              </w:rPr>
              <w:t xml:space="preserve">index_mix</w:t>
            </w:r>
            <w:r>
              <w:t xml:space="preserve"> (json: CDI/IPCA/pré %), </w:t>
            </w:r>
            <w:r>
              <w:rPr>
                <w:rStyle w:val="CodeChar"/>
              </w:rPr>
              <w:t xml:space="preserve">avg_rate</w:t>
            </w:r>
            <w:r>
              <w:t xml:space="preserve">, </w:t>
            </w:r>
            <w:r>
              <w:rPr>
                <w:rStyle w:val="CodeChar"/>
              </w:rPr>
              <w:t xml:space="preserve">ltv_avg</w:t>
            </w:r>
            <w:r>
              <w:t xml:space="preserve">, </w:t>
            </w:r>
            <w:r>
              <w:rPr>
                <w:rStyle w:val="CodeChar"/>
              </w:rPr>
              <w:t xml:space="preserve">default_pct</w:t>
            </w:r>
            <w:r>
              <w:t xml:space="preserve">, </w:t>
            </w:r>
            <w:r>
              <w:rPr>
                <w:rStyle w:val="CodeChar"/>
              </w:rPr>
              <w:t xml:space="preserve">high_yield_pct</w:t>
            </w:r>
            <w:r>
              <w:t xml:space="preserve">, </w:t>
            </w:r>
            <w:r>
              <w:rPr>
                <w:rStyle w:val="CodeChar"/>
              </w:rPr>
              <w:t xml:space="preserve">duration_years</w:t>
            </w:r>
            <w:r>
              <w:t xml:space="preserve">; sempre: </w:t>
            </w:r>
            <w:r>
              <w:rPr>
                <w:rStyle w:val="CodeChar"/>
              </w:rPr>
              <w:t xml:space="preserve">source_pdf_url</w:t>
            </w:r>
            <w:r>
              <w:t xml:space="preserve">, </w:t>
            </w:r>
            <w:r>
              <w:rPr>
                <w:rStyle w:val="CodeChar"/>
              </w:rPr>
              <w:t xml:space="preserve">source_page</w:t>
            </w:r>
            <w:r>
              <w:t xml:space="preserve">, </w:t>
            </w:r>
            <w:r>
              <w:rPr>
                <w:rStyle w:val="CodeChar"/>
              </w:rPr>
              <w:t xml:space="preserve">extracted_by</w:t>
            </w:r>
            <w:r>
              <w:t xml:space="preserve"> (llm / manual), </w:t>
            </w:r>
            <w:r>
              <w:rPr>
                <w:rStyle w:val="CodeChar"/>
              </w:rPr>
              <w:t xml:space="preserve">review_status</w:t>
            </w:r>
            <w:r>
              <w:t xml:space="preserve"> (pending / approved / rejected)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scores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computed_at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indice_mf</w:t>
            </w:r>
            <w:r>
              <w:t xml:space="preserve">, </w:t>
            </w:r>
            <w:r>
              <w:rPr>
                <w:rStyle w:val="CodeChar"/>
              </w:rPr>
              <w:t xml:space="preserve">c_lucro</w:t>
            </w:r>
            <w:r>
              <w:t xml:space="preserve">, </w:t>
            </w:r>
            <w:r>
              <w:rPr>
                <w:rStyle w:val="CodeChar"/>
              </w:rPr>
              <w:t xml:space="preserve">c_divida</w:t>
            </w:r>
            <w:r>
              <w:t xml:space="preserve">, </w:t>
            </w:r>
            <w:r>
              <w:rPr>
                <w:rStyle w:val="CodeChar"/>
              </w:rPr>
              <w:t xml:space="preserve">c_rent</w:t>
            </w:r>
            <w:r>
              <w:t xml:space="preserve">, </w:t>
            </w:r>
            <w:r>
              <w:rPr>
                <w:rStyle w:val="CodeChar"/>
              </w:rPr>
              <w:t xml:space="preserve">c_div</w:t>
            </w:r>
            <w:r>
              <w:t xml:space="preserve">, </w:t>
            </w:r>
            <w:r>
              <w:rPr>
                <w:rStyle w:val="CodeChar"/>
              </w:rPr>
              <w:t xml:space="preserve">c_preco</w:t>
            </w:r>
            <w:r>
              <w:t xml:space="preserve">, </w:t>
            </w:r>
            <w:r>
              <w:rPr>
                <w:rStyle w:val="CodeChar"/>
              </w:rPr>
              <w:t xml:space="preserve">checks</w:t>
            </w:r>
            <w:r>
              <w:t xml:space="preserve"> (json: 5 critérios com status e frase), </w:t>
            </w:r>
            <w:r>
              <w:rPr>
                <w:rStyle w:val="CodeChar"/>
              </w:rPr>
              <w:t xml:space="preserve">incomplete</w:t>
            </w:r>
            <w:r>
              <w:t xml:space="preserve"> (bool), </w:t>
            </w:r>
            <w:r>
              <w:rPr>
                <w:rStyle w:val="CodeChar"/>
              </w:rPr>
              <w:t xml:space="preserve">params_version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scoring_params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limiares da seção 4 por classe/tipo, </w:t>
            </w:r>
            <w:r>
              <w:rPr>
                <w:rStyle w:val="CodeChar"/>
              </w:rPr>
              <w:t xml:space="preserve">valid_from</w:t>
            </w:r>
            <w:r>
              <w:t xml:space="preserve">, </w:t>
            </w:r>
            <w:r>
              <w:rPr>
                <w:rStyle w:val="CodeChar"/>
              </w:rPr>
              <w:t xml:space="preserve">created_by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votes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+ </w:t>
            </w:r>
            <w:r>
              <w:rPr>
                <w:rStyle w:val="CodeChar"/>
              </w:rPr>
              <w:t xml:space="preserve">asset_id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stars</w:t>
            </w:r>
            <w:r>
              <w:t xml:space="preserve"> (1–5), </w:t>
            </w:r>
            <w:r>
              <w:rPr>
                <w:rStyle w:val="CodeChar"/>
              </w:rPr>
              <w:t xml:space="preserve">would_buy</w:t>
            </w:r>
            <w:r>
              <w:t xml:space="preserve"> (bool), </w:t>
            </w:r>
            <w:r>
              <w:rPr>
                <w:rStyle w:val="CodeChar"/>
              </w:rPr>
              <w:t xml:space="preserve">weight</w:t>
            </w:r>
            <w:r>
              <w:t xml:space="preserve"> (0,5 / 1,0 / 1,5), </w:t>
            </w:r>
            <w:r>
              <w:rPr>
                <w:rStyle w:val="CodeChar"/>
              </w:rPr>
              <w:t xml:space="preserve">holder_at_vote</w:t>
            </w:r>
            <w:r>
              <w:t xml:space="preserve"> (bool), </w:t>
            </w:r>
            <w:r>
              <w:rPr>
                <w:rStyle w:val="CodeChar"/>
              </w:rPr>
              <w:t xml:space="preserve">origin</w:t>
            </w:r>
            <w:r>
              <w:t xml:space="preserve"> (app / enquete), </w:t>
            </w:r>
            <w:r>
              <w:rPr>
                <w:rStyle w:val="CodeChar"/>
              </w:rPr>
              <w:t xml:space="preserve">created_at</w:t>
            </w:r>
            <w:r>
              <w:t xml:space="preserve">, </w:t>
            </w:r>
            <w:r>
              <w:rPr>
                <w:rStyle w:val="CodeChar"/>
              </w:rPr>
              <w:t xml:space="preserve">updated_at</w:t>
            </w:r>
            <w:r>
              <w:t xml:space="preserve">, </w:t>
            </w:r>
            <w:r>
              <w:rPr>
                <w:rStyle w:val="CodeChar"/>
              </w:rPr>
              <w:t xml:space="preserve">expires_at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(valid / expired / quarantined / removed)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rankings_daily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rating_raw</w:t>
            </w:r>
            <w:r>
              <w:t xml:space="preserve">, </w:t>
            </w:r>
            <w:r>
              <w:rPr>
                <w:rStyle w:val="CodeChar"/>
              </w:rPr>
              <w:t xml:space="preserve">weight_sum</w:t>
            </w:r>
            <w:r>
              <w:t xml:space="preserve">, </w:t>
            </w:r>
            <w:r>
              <w:rPr>
                <w:rStyle w:val="CodeChar"/>
              </w:rPr>
              <w:t xml:space="preserve">rating_bayes</w:t>
            </w:r>
            <w:r>
              <w:t xml:space="preserve">, </w:t>
            </w:r>
            <w:r>
              <w:rPr>
                <w:rStyle w:val="CodeChar"/>
              </w:rPr>
              <w:t xml:space="preserve">holders_pct</w:t>
            </w:r>
            <w:r>
              <w:t xml:space="preserve">, </w:t>
            </w:r>
            <w:r>
              <w:rPr>
                <w:rStyle w:val="CodeChar"/>
              </w:rPr>
              <w:t xml:space="preserve">sentiment_yes_pct</w:t>
            </w:r>
            <w:r>
              <w:t xml:space="preserve">, </w:t>
            </w:r>
            <w:r>
              <w:rPr>
                <w:rStyle w:val="CodeChar"/>
              </w:rPr>
              <w:t xml:space="preserve">position</w:t>
            </w:r>
            <w:r>
              <w:t xml:space="preserve">, </w:t>
            </w:r>
            <w:r>
              <w:rPr>
                <w:rStyle w:val="CodeChar"/>
              </w:rPr>
              <w:t xml:space="preserve">position_delta_month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theses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visibility</w:t>
            </w:r>
            <w:r>
              <w:t xml:space="preserve"> (private / public), </w:t>
            </w:r>
            <w:r>
              <w:rPr>
                <w:rStyle w:val="CodeChar"/>
              </w:rPr>
              <w:t xml:space="preserve">likes</w:t>
            </w:r>
            <w:r>
              <w:t xml:space="preserve">, </w:t>
            </w:r>
            <w:r>
              <w:rPr>
                <w:rStyle w:val="CodeChar"/>
              </w:rPr>
              <w:t xml:space="preserve">reports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(active / hidden / removed), </w:t>
            </w:r>
            <w:r>
              <w:rPr>
                <w:rStyle w:val="CodeChar"/>
              </w:rPr>
              <w:t xml:space="preserve">created_at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asset_risks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votes</w:t>
            </w:r>
            <w:r>
              <w:t xml:space="preserve">, </w:t>
            </w:r>
            <w:r>
              <w:rPr>
                <w:rStyle w:val="CodeChar"/>
              </w:rPr>
              <w:t xml:space="preserve">source</w:t>
            </w:r>
            <w:r>
              <w:t xml:space="preserve"> (community / curated)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asset_events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date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 (earnings / ex_dividend / payment / meeting / report),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source_url</w:t>
            </w:r>
            <w:r>
              <w:t xml:space="preserve">; espelhado na Agenda do usuário para ativos na carteira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watchlists</w:t>
            </w:r>
            <w:r>
              <w:t xml:space="preserve"> / </w:t>
            </w:r>
            <w:r>
              <w:rPr>
                <w:rStyle w:val="CodeChar"/>
              </w:rPr>
              <w:t xml:space="preserve">watchlist_items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;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added_at</w:t>
            </w:r>
            <w:r>
              <w:t xml:space="preserve"> (Fase 2)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comparisons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class</w:t>
            </w:r>
            <w:r>
              <w:t xml:space="preserve">, </w:t>
            </w:r>
            <w:r>
              <w:rPr>
                <w:rStyle w:val="CodeChar"/>
              </w:rPr>
              <w:t xml:space="preserve">asset_ids[]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  <w:r>
              <w:t xml:space="preserve"> (Salvar comparação)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data_reports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asset_id</w:t>
            </w:r>
            <w:r>
              <w:t xml:space="preserve">, </w:t>
            </w:r>
            <w:r>
              <w:rPr>
                <w:rStyle w:val="CodeChar"/>
              </w:rPr>
              <w:t xml:space="preserve">field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  <w:r>
              <w:t xml:space="preserve">, </w:t>
            </w:r>
            <w:r>
              <w:rPr>
                <w:rStyle w:val="CodeChar"/>
              </w:rPr>
              <w:t xml:space="preserve">expected_source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("reportar dado incorreto")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multiples_yearly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asset_id</w:t>
            </w:r>
            <w:r>
              <w:t xml:space="preserve"> + </w:t>
            </w:r>
            <w:r>
              <w:rPr>
                <w:rStyle w:val="CodeChar"/>
              </w:rPr>
              <w:t xml:space="preserve">fiscal_year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close_year_end, pl, pvp, ps, ev_ebitda, p_fco, p_fcl, dy, payout, net_margin, roe, roa, roic, net_debt_ebitda, debt_equity, current_ratio</w:t>
            </w:r>
            <w:r>
              <w:t xml:space="preserve">; FIIs: </w:t>
            </w:r>
            <w:r>
              <w:rPr>
                <w:rStyle w:val="CodeChar"/>
              </w:rPr>
              <w:t xml:space="preserve">pvp, nav_per_share, cap_rate, income_per_share, dy, vacancy_physical, vacancy_financial, pad_aaa_aa_pct, leverage_pct</w:t>
            </w:r>
            <w:r>
              <w:t xml:space="preserve">; REITs: </w:t>
            </w:r>
            <w:r>
              <w:rPr>
                <w:rStyle w:val="CodeChar"/>
              </w:rPr>
              <w:t xml:space="preserve">p_ffo, p_affo, p_nav, dy, affo_payout, occupancy, net_debt_ebitda, fixed_charge_coverage</w:t>
            </w:r>
            <w:r>
              <w:t xml:space="preserve"> — um ponto por ano fiscal, alimenta a barra de posição do Valuation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user_scenarios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 + </w:t>
            </w:r>
            <w:r>
              <w:rPr>
                <w:rStyle w:val="CodeChar"/>
              </w:rPr>
              <w:t xml:space="preserve">asset_id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inputs (json: lpa, vpa, dpa, dy, pl, g, k, mg, rend, vp, pvp_alvo, renda, ffo, pffo), updated_at</w:t>
            </w:r>
            <w:r>
              <w:t xml:space="preserve"> — premissas de "Meus cenários"; "Salvar cenário" grava, "Restaurar valores do ativo" apaga</w:t>
            </w:r>
          </w:p>
        </w:tc>
      </w:tr>
    </w:tbl>
    <w:p>
      <w:pPr/>
      <w:r>
        <w:rPr>
          <w:b/>
        </w:rPr>
        <w:t xml:space="preserve">Integração com o app existente:</w:t>
      </w:r>
      <w:r>
        <w:t xml:space="preserve"> </w:t>
      </w:r>
      <w:r>
        <w:rPr>
          <w:rStyle w:val="CodeChar"/>
        </w:rPr>
        <w:t xml:space="preserve">portfolio_positions</w:t>
      </w:r>
      <w:r>
        <w:t xml:space="preserve"> (já existe) fornece </w:t>
      </w:r>
      <w:r>
        <w:rPr>
          <w:rStyle w:val="CodeChar"/>
        </w:rPr>
        <w:t xml:space="preserve">quantity</w:t>
      </w:r>
      <w:r>
        <w:t xml:space="preserve">, </w:t>
      </w:r>
      <w:r>
        <w:rPr>
          <w:rStyle w:val="CodeChar"/>
        </w:rPr>
        <w:t xml:space="preserve">avg_price</w:t>
      </w:r>
      <w:r>
        <w:t xml:space="preserve">, </w:t>
      </w:r>
      <w:r>
        <w:rPr>
          <w:rStyle w:val="CodeChar"/>
        </w:rPr>
        <w:t xml:space="preserve">market_value</w:t>
      </w:r>
      <w:r>
        <w:t xml:space="preserve">, </w:t>
      </w:r>
      <w:r>
        <w:rPr>
          <w:rStyle w:val="CodeChar"/>
        </w:rPr>
        <w:t xml:space="preserve">weight_pct</w:t>
      </w:r>
      <w:r>
        <w:t xml:space="preserve"> por ativo; </w:t>
      </w:r>
      <w:r>
        <w:rPr>
          <w:rStyle w:val="CodeChar"/>
        </w:rPr>
        <w:t xml:space="preserve">planning_targets</w:t>
      </w:r>
      <w:r>
        <w:t xml:space="preserve"> fornece o alvo por classe. A tela lê ambos por </w:t>
      </w:r>
      <w:r>
        <w:rPr>
          <w:rStyle w:val="CodeChar"/>
        </w:rPr>
        <w:t xml:space="preserve">user_id</w:t>
      </w:r>
      <w:r>
        <w:t xml:space="preserve"> + </w:t>
      </w:r>
      <w:r>
        <w:rPr>
          <w:rStyle w:val="CodeChar"/>
        </w:rPr>
        <w:t xml:space="preserve">asset_id</w:t>
      </w:r>
      <w:r>
        <w:t xml:space="preserve">.</w:t>
      </w:r>
    </w:p>
    <w:p>
      <w:pPr/>
      <w:r>
        <w:rPr>
          <w:b/>
        </w:rPr>
        <w:t xml:space="preserve">Endpoints sugeridos (REST, JSON):</w:t>
      </w:r>
      <w:r>
        <w:t xml:space="preserve"> </w:t>
      </w:r>
      <w:r>
        <w:rPr>
          <w:rStyle w:val="CodeChar"/>
        </w:rPr>
        <w:t xml:space="preserve">GET /analise/{class}?sort=mf|community&amp;mode=simple|full&amp;filters=…</w:t>
      </w:r>
      <w:r>
        <w:t xml:space="preserve"> · </w:t>
      </w:r>
      <w:r>
        <w:rPr>
          <w:rStyle w:val="CodeChar"/>
        </w:rPr>
        <w:t xml:space="preserve">GET /analise/asset/{ticker}</w:t>
      </w:r>
      <w:r>
        <w:t xml:space="preserve"> (agrega quotes, fundamentals, scores, community, events, position) · </w:t>
      </w:r>
      <w:r>
        <w:rPr>
          <w:rStyle w:val="CodeChar"/>
        </w:rPr>
        <w:t xml:space="preserve">GET /analise/compare?tickers=A,B,C,D</w:t>
      </w:r>
      <w:r>
        <w:t xml:space="preserve"> · </w:t>
      </w:r>
      <w:r>
        <w:rPr>
          <w:rStyle w:val="CodeChar"/>
        </w:rPr>
        <w:t xml:space="preserve">GET /analise/ranking/{class}</w:t>
      </w:r>
      <w:r>
        <w:t xml:space="preserve"> · </w:t>
      </w:r>
      <w:r>
        <w:rPr>
          <w:rStyle w:val="CodeChar"/>
        </w:rPr>
        <w:t xml:space="preserve">POST /analise/vote</w:t>
      </w:r>
      <w:r>
        <w:t xml:space="preserve"> · </w:t>
      </w:r>
      <w:r>
        <w:rPr>
          <w:rStyle w:val="CodeChar"/>
        </w:rPr>
        <w:t xml:space="preserve">PUT /analise/thesis</w:t>
      </w:r>
      <w:r>
        <w:t xml:space="preserve"> · </w:t>
      </w:r>
      <w:r>
        <w:rPr>
          <w:rStyle w:val="CodeChar"/>
        </w:rPr>
        <w:t xml:space="preserve">POST /analise/report</w:t>
      </w:r>
      <w:r>
        <w:t xml:space="preserve">. Respostas cacheadas 15 min (cotações) e 24 h (fundamentos), invalidadas pelos jobs.</w:t>
      </w:r>
    </w:p>
    <w:p>
      <w:pPr>
        <w:pStyle w:val="Heading2"/>
      </w:pPr>
      <w:r>
        <w:t xml:space="preserve">6. Pipeline de dados</w:t>
      </w:r>
    </w:p>
    <w:p>
      <w:pPr/>
      <w:r>
        <w:t xml:space="preserve">O app nunca chama API de terceiros na renderização: jobs agendados gravam no banco próprio e a tela lê só dele.</w:t>
      </w:r>
    </w:p>
    <w:p>
      <w:pPr/>
      <w:r>
        <w:drawing>
          <wp:inline distT="0" distB="0" distL="0" distR="0">
            <wp:extent cx="5486400" cy="2735035"/>
            <wp:docPr id="1" name="image1" descr="pipeline de dados · 4 fontes, 3 jobs, 1 banc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de dados · 4 fontes, 3 jobs, 1 banc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pipeline de dados · 4 fontes, 3 jobs, 1 banco</w:t>
      </w:r>
    </w:p>
    <w:p>
      <w:pPr/>
      <w:r>
        <w:t xml:space="preserve">Cotações e balanços entram por jobs automáticos; os dados de FII que só existem em PDF passam por extração e revisão humana antes de chegar ao banco.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Ritmo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Custo 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Cotações B3</w:t>
            </w:r>
          </w:p>
        </w:tc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brapi</w:t>
              </w:r>
            </w:hyperlink>
            <w:r>
              <w:t xml:space="preserve"> (~R$ 100/mês, 15 mil req. grátis) ou </w:t>
            </w:r>
            <w:hyperlink r:id="rId5" w:history="1">
              <w:r>
                <w:rPr>
                  <w:rStyle w:val="Hyperlink"/>
                </w:rPr>
                <w:t xml:space="preserve">bolsai</w:t>
              </w:r>
            </w:hyperlink>
            <w:r>
              <w:t xml:space="preserve"> (R$ 49/mês, 27 indicadores)</w:t>
            </w:r>
          </w:p>
        </w:tc>
        <w:tc>
          <w:tcPr>
            <w:tcW w:w="2340" w:type="dxa"/>
          </w:tcPr>
          <w:p>
            <w:pPr/>
            <w:r>
              <w:t xml:space="preserve">fechamento diário 18h30; opcional 15 min no pregão</w:t>
            </w:r>
          </w:p>
        </w:tc>
        <w:tc>
          <w:tcPr>
            <w:tcW w:w="2340" w:type="dxa"/>
          </w:tcPr>
          <w:p>
            <w:pPr/>
            <w:r>
              <w:t xml:space="preserve">R$ 50–100/mês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Cotações EUA</w:t>
            </w:r>
          </w:p>
        </w:tc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EODHD</w:t>
              </w:r>
            </w:hyperlink>
            <w:r>
              <w:t xml:space="preserve"> (~US$ 60/mês) ou Financial Modeling Prep (US$ 22–59)</w:t>
            </w:r>
          </w:p>
        </w:tc>
        <w:tc>
          <w:tcPr>
            <w:tcW w:w="2340" w:type="dxa"/>
          </w:tcPr>
          <w:p>
            <w:pPr/>
            <w:r>
              <w:t xml:space="preserve">diário</w:t>
            </w:r>
          </w:p>
        </w:tc>
        <w:tc>
          <w:tcPr>
            <w:tcW w:w="2340" w:type="dxa"/>
          </w:tcPr>
          <w:p>
            <w:pPr/>
            <w:r>
              <w:t xml:space="preserve">US$ 22–60/mês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Fundamentos de ações</w:t>
            </w:r>
          </w:p>
        </w:tc>
        <w:tc>
          <w:tcPr>
            <w:tcW w:w="23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CVM Dados Abertos</w:t>
              </w:r>
            </w:hyperlink>
            <w:r>
              <w:t xml:space="preserve"> DFP/ITR (CSV); no MVP via bolsai ou </w:t>
            </w:r>
            <w:hyperlink r:id="rId8" w:history="1">
              <w:r>
                <w:rPr>
                  <w:rStyle w:val="Hyperlink"/>
                </w:rPr>
                <w:t xml:space="preserve">Fintz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job diário checa balanços novos (ITR ≤ 45 dias após o trimestre; DFP ≤ 3 meses após o ano)</w:t>
            </w:r>
          </w:p>
        </w:tc>
        <w:tc>
          <w:tcPr>
            <w:tcW w:w="2340" w:type="dxa"/>
          </w:tcPr>
          <w:p>
            <w:pPr/>
            <w:r>
              <w:t xml:space="preserve">grátis / incluso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FIIs — estruturado</w:t>
            </w:r>
          </w:p>
        </w:tc>
        <w:tc>
          <w:tcPr>
            <w:tcW w:w="23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Informe Mensal Estruturado de FII</w:t>
              </w:r>
            </w:hyperlink>
            <w:r>
              <w:t xml:space="preserve"> (PL, cotas, cotistas, rendimentos, ativos) + informe anual/trimestral (relação de imóveis)</w:t>
            </w:r>
          </w:p>
        </w:tc>
        <w:tc>
          <w:tcPr>
            <w:tcW w:w="2340" w:type="dxa"/>
          </w:tcPr>
          <w:p>
            <w:pPr/>
            <w:r>
              <w:t xml:space="preserve">mensal</w:t>
            </w:r>
          </w:p>
        </w:tc>
        <w:tc>
          <w:tcPr>
            <w:tcW w:w="2340" w:type="dxa"/>
          </w:tcPr>
          <w:p>
            <w:pPr/>
            <w:r>
              <w:t xml:space="preserve">grátis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FIIs — não estruturado</w:t>
            </w:r>
          </w:p>
        </w:tc>
        <w:tc>
          <w:tcPr>
            <w:tcW w:w="2340" w:type="dxa"/>
          </w:tcPr>
          <w:p>
            <w:pPr/>
            <w:r>
              <w:t xml:space="preserve">relatórios gerenciais PDF (Fundos.net): padrão construtivo, inquilinos, contratos atípicos, prazo médio, LTV, inadimplência, indexador, high yield</w:t>
            </w:r>
          </w:p>
        </w:tc>
        <w:tc>
          <w:tcPr>
            <w:tcW w:w="2340" w:type="dxa"/>
          </w:tcPr>
          <w:p>
            <w:pPr/>
            <w:r>
              <w:t xml:space="preserve">mensal por FII; extração LLM → fila de revisão</w:t>
            </w:r>
          </w:p>
        </w:tc>
        <w:tc>
          <w:tcPr>
            <w:tcW w:w="2340" w:type="dxa"/>
          </w:tcPr>
          <w:p>
            <w:pPr/>
            <w:r>
              <w:t xml:space="preserve">curador(a) meio período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Stocks e REITs</w:t>
            </w:r>
          </w:p>
        </w:tc>
        <w:tc>
          <w:tcPr>
            <w:tcW w:w="234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SEC EDGAR company facts</w:t>
              </w:r>
            </w:hyperlink>
            <w:r>
              <w:t xml:space="preserve"> (XBRL, JSON, 10+ anos)</w:t>
            </w:r>
          </w:p>
        </w:tc>
        <w:tc>
          <w:tcPr>
            <w:tcW w:w="2340" w:type="dxa"/>
          </w:tcPr>
          <w:p>
            <w:pPr/>
            <w:r>
              <w:t xml:space="preserve">trimestral (10-Q / 10-K)</w:t>
            </w:r>
          </w:p>
        </w:tc>
        <w:tc>
          <w:tcPr>
            <w:tcW w:w="2340" w:type="dxa"/>
          </w:tcPr>
          <w:p>
            <w:pPr/>
            <w:r>
              <w:t xml:space="preserve">grátis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REITs — FFO/AFFO</w:t>
            </w:r>
          </w:p>
        </w:tc>
        <w:tc>
          <w:tcPr>
            <w:tcW w:w="2340" w:type="dxa"/>
          </w:tcPr>
          <w:p>
            <w:pPr/>
            <w:r>
              <w:t xml:space="preserve">suplementos trimestrais dos REITs (não-GAAP, fora do XBRL) → mesma extração, ou provedor que calcule</w:t>
            </w:r>
          </w:p>
        </w:tc>
        <w:tc>
          <w:tcPr>
            <w:tcW w:w="2340" w:type="dxa"/>
          </w:tcPr>
          <w:p>
            <w:pPr/>
            <w:r>
              <w:t xml:space="preserve">trimestral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Comunidade</w:t>
            </w:r>
          </w:p>
        </w:tc>
        <w:tc>
          <w:tcPr>
            <w:tcW w:w="2340" w:type="dxa"/>
          </w:tcPr>
          <w:p>
            <w:pPr/>
            <w:r>
              <w:t xml:space="preserve">banco próprio</w:t>
            </w:r>
          </w:p>
        </w:tc>
        <w:tc>
          <w:tcPr>
            <w:tcW w:w="2340" w:type="dxa"/>
          </w:tcPr>
          <w:p>
            <w:pPr/>
            <w:r>
              <w:t xml:space="preserve">tempo real; ranking recalculado às 03h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Extração de PDFs (FIIs e REITs)</w:t>
      </w:r>
    </w:p>
    <w:p>
      <w:pPr>
        <w:pStyle w:val="ListParagraph"/>
        <w:numPr>
          <w:ilvl w:val="0"/>
          <w:numId w:val="12"/>
        </w:numPr>
      </w:pPr>
      <w:r>
        <w:t xml:space="preserve">Job monitora Fundos.net e o IR do REIT; ao detectar relatório novo, baixa o PDF e registra </w:t>
      </w:r>
      <w:r>
        <w:rPr>
          <w:rStyle w:val="CodeChar"/>
        </w:rPr>
        <w:t xml:space="preserve">source_pdf_url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Modelo de linguagem (Claude API) extrai os campos de </w:t>
      </w:r>
      <w:r>
        <w:rPr>
          <w:rStyle w:val="CodeChar"/>
        </w:rPr>
        <w:t xml:space="preserve">fii_property_quality</w:t>
      </w:r>
      <w:r>
        <w:t xml:space="preserve"> num JSON com schema fixo, cada campo com a página de origem e um grau de confiança.</w:t>
      </w:r>
    </w:p>
    <w:p>
      <w:pPr>
        <w:pStyle w:val="ListParagraph"/>
        <w:numPr>
          <w:ilvl w:val="0"/>
          <w:numId w:val="12"/>
        </w:numPr>
      </w:pPr>
      <w:r>
        <w:t xml:space="preserve">Campos com confiança &lt; 0,8, variação &gt; 40% vs. mês anterior ou ausentes vão para a fila de revisão (</w:t>
      </w:r>
      <w:r>
        <w:rPr>
          <w:rStyle w:val="CodeChar"/>
        </w:rPr>
        <w:t xml:space="preserve">review_status = pending</w:t>
      </w:r>
      <w:r>
        <w:t xml:space="preserve">); os demais entram como </w:t>
      </w:r>
      <w:r>
        <w:rPr>
          <w:rStyle w:val="CodeChar"/>
        </w:rPr>
        <w:t xml:space="preserve">approved</w:t>
      </w:r>
      <w:r>
        <w:t xml:space="preserve"> com </w:t>
      </w:r>
      <w:r>
        <w:rPr>
          <w:rStyle w:val="CodeChar"/>
        </w:rPr>
        <w:t xml:space="preserve">extracted_by = llm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Curador aprova/corrige na tela de revisão (lado a lado: PDF na página indicada + campos). Nada </w:t>
      </w:r>
      <w:r>
        <w:rPr>
          <w:rStyle w:val="CodeChar"/>
        </w:rPr>
        <w:t xml:space="preserve">pending</w:t>
      </w:r>
      <w:r>
        <w:t xml:space="preserve"> aparece no app.</w:t>
      </w:r>
    </w:p>
    <w:p>
      <w:pPr>
        <w:pStyle w:val="ListParagraph"/>
        <w:numPr>
          <w:ilvl w:val="0"/>
          <w:numId w:val="12"/>
        </w:numPr>
      </w:pPr>
      <w:r>
        <w:t xml:space="preserve">Ordem de cobertura: os 100 FIIs mais líquidos primeiro; depois por demanda (ativos com posição de usuários).</w:t>
      </w:r>
    </w:p>
    <w:p>
      <w:pPr/>
      <w:r>
        <w:rPr>
          <w:b/>
        </w:rPr>
        <w:t xml:space="preserve">Regras de sanidade (todas as camadas)</w:t>
      </w:r>
    </w:p>
    <w:p>
      <w:pPr>
        <w:pStyle w:val="ListParagraph"/>
        <w:numPr>
          <w:ilvl w:val="0"/>
          <w:numId w:val="13"/>
        </w:numPr>
      </w:pPr>
      <w:r>
        <w:t xml:space="preserve">Variação &gt; 40% num indicador entre dois períodos → revisão, não publica.</w:t>
      </w:r>
    </w:p>
    <w:p>
      <w:pPr>
        <w:pStyle w:val="ListParagraph"/>
        <w:numPr>
          <w:ilvl w:val="0"/>
          <w:numId w:val="13"/>
        </w:numPr>
      </w:pPr>
      <w:r>
        <w:t xml:space="preserve">Campo obrigatório ausente → </w:t>
      </w:r>
      <w:r>
        <w:rPr>
          <w:rStyle w:val="CodeChar"/>
        </w:rPr>
        <w:t xml:space="preserve">incomplete = true</w:t>
      </w:r>
      <w:r>
        <w:t xml:space="preserve">, selo "dados incompletos" na tela, componente do Índice = 0.</w:t>
      </w:r>
    </w:p>
    <w:p>
      <w:pPr>
        <w:pStyle w:val="ListParagraph"/>
        <w:numPr>
          <w:ilvl w:val="0"/>
          <w:numId w:val="13"/>
        </w:numPr>
      </w:pPr>
      <w:r>
        <w:t xml:space="preserve">Divergência &gt; 5% entre provedor e CVM no mesmo campo → revisão; CVM prevalece.</w:t>
      </w:r>
    </w:p>
    <w:p>
      <w:pPr>
        <w:pStyle w:val="ListParagraph"/>
        <w:numPr>
          <w:ilvl w:val="0"/>
          <w:numId w:val="13"/>
        </w:numPr>
      </w:pPr>
      <w:r>
        <w:t xml:space="preserve">Toda linha guarda 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source_url</w:t>
      </w:r>
      <w:r>
        <w:t xml:space="preserve">, </w:t>
      </w:r>
      <w:r>
        <w:rPr>
          <w:rStyle w:val="CodeChar"/>
        </w:rPr>
        <w:t xml:space="preserve">fetched_at</w:t>
      </w:r>
      <w:r>
        <w:t xml:space="preserve">, </w:t>
      </w:r>
      <w:r>
        <w:rPr>
          <w:rStyle w:val="CodeChar"/>
        </w:rPr>
        <w:t xml:space="preserve">reviewed_by</w:t>
      </w:r>
      <w:r>
        <w:t xml:space="preserve">; a tela mostra o selo de frescor ("Fundamentos: ITR 2T25 · atualizado 14/08 · fonte: CVM").</w:t>
      </w:r>
    </w:p>
    <w:p>
      <w:pPr>
        <w:pStyle w:val="ListParagraph"/>
        <w:numPr>
          <w:ilvl w:val="0"/>
          <w:numId w:val="13"/>
        </w:numPr>
      </w:pPr>
      <w:r>
        <w:t xml:space="preserve">Botão "reportar dado incorreto" em cada bloco cria um </w:t>
      </w:r>
      <w:r>
        <w:rPr>
          <w:rStyle w:val="CodeChar"/>
        </w:rPr>
        <w:t xml:space="preserve">data_report</w:t>
      </w:r>
      <w:r>
        <w:t xml:space="preserve">; SLA de resposta: 5 dias úteis.</w:t>
      </w:r>
    </w:p>
    <w:p>
      <w:pPr/>
      <w:r>
        <w:rPr>
          <w:b/>
        </w:rPr>
        <w:t xml:space="preserve">Horários sugeridos (horário de Brasília):</w:t>
      </w:r>
      <w:r>
        <w:t xml:space="preserve"> cotações 18h30; fundamentos e informes CVM 06h00; SEC 07h00; extração de PDFs 22h00; ranking 03h00; expiração de votos 04h00.</w:t>
      </w:r>
    </w:p>
    <w:p>
      <w:pPr>
        <w:pStyle w:val="Heading2"/>
      </w:pPr>
      <w:r>
        <w:t xml:space="preserve">7. Design system e componentes</w:t>
      </w:r>
    </w:p>
    <w:p>
      <w:pPr/>
      <w:r>
        <w:t xml:space="preserve">Reutilizar os componentes existentes do app; os tokens abaixo foram medidos nos prints do My Finance e estão no CSS do protótipo (</w:t>
      </w:r>
      <w:r>
        <w:rPr>
          <w:rStyle w:val="CodeChar"/>
        </w:rPr>
        <w:t xml:space="preserve">:root</w:t>
      </w:r>
      <w:r>
        <w:t xml:space="preserve"> e </w:t>
      </w:r>
      <w:r>
        <w:rPr>
          <w:rStyle w:val="CodeChar"/>
        </w:rPr>
        <w:t xml:space="preserve">:root[data-theme="dark"]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Escuro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fundo da página</w:t>
            </w:r>
          </w:p>
        </w:tc>
        <w:tc>
          <w:tcPr>
            <w:tcW w:w="3120" w:type="dxa"/>
          </w:tcPr>
          <w:p>
            <w:pPr/>
            <w:r>
              <w:t xml:space="preserve">#f5f7fb</w:t>
            </w:r>
          </w:p>
        </w:tc>
        <w:tc>
          <w:tcPr>
            <w:tcW w:w="3120" w:type="dxa"/>
          </w:tcPr>
          <w:p>
            <w:pPr/>
            <w:r>
              <w:t xml:space="preserve">#1a1d24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card / borda</w:t>
            </w:r>
          </w:p>
        </w:tc>
        <w:tc>
          <w:tcPr>
            <w:tcW w:w="3120" w:type="dxa"/>
          </w:tcPr>
          <w:p>
            <w:pPr/>
            <w:r>
              <w:t xml:space="preserve">#ffffff / #e6eaf0 (raio 12 px)</w:t>
            </w:r>
          </w:p>
        </w:tc>
        <w:tc>
          <w:tcPr>
            <w:tcW w:w="3120" w:type="dxa"/>
          </w:tcPr>
          <w:p>
            <w:pPr/>
            <w:r>
              <w:t xml:space="preserve">#22262f / #2e333d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texto / secundário / apagado</w:t>
            </w:r>
          </w:p>
        </w:tc>
        <w:tc>
          <w:tcPr>
            <w:tcW w:w="3120" w:type="dxa"/>
          </w:tcPr>
          <w:p>
            <w:pPr/>
            <w:r>
              <w:t xml:space="preserve">#1c2233 / #6b7280 / #9aa3b2</w:t>
            </w:r>
          </w:p>
        </w:tc>
        <w:tc>
          <w:tcPr>
            <w:tcW w:w="3120" w:type="dxa"/>
          </w:tcPr>
          <w:p>
            <w:pPr/>
            <w:r>
              <w:t xml:space="preserve">#eef1f6 / #9aa3b2 / #6f7887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primário (botão azul, raio 8 px)</w:t>
            </w:r>
          </w:p>
        </w:tc>
        <w:tc>
          <w:tcPr>
            <w:tcW w:w="3120" w:type="dxa"/>
          </w:tcPr>
          <w:p>
            <w:pPr/>
            <w:r>
              <w:t xml:space="preserve">#2f80f6</w:t>
            </w:r>
          </w:p>
        </w:tc>
        <w:tc>
          <w:tcPr>
            <w:tcW w:w="3120" w:type="dxa"/>
          </w:tcPr>
          <w:p>
            <w:pPr/>
            <w:r>
              <w:t xml:space="preserve">#3b8cff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navy (botão secundário, cabeçalho de tabela)</w:t>
            </w:r>
          </w:p>
        </w:tc>
        <w:tc>
          <w:tcPr>
            <w:tcW w:w="3120" w:type="dxa"/>
          </w:tcPr>
          <w:p>
            <w:pPr/>
            <w:r>
              <w:t xml:space="preserve">#2b3a55</w:t>
            </w:r>
          </w:p>
        </w:tc>
        <w:tc>
          <w:tcPr>
            <w:tcW w:w="3120" w:type="dxa"/>
          </w:tcPr>
          <w:p>
            <w:pPr/>
            <w:r>
              <w:t xml:space="preserve">#333b4d / #2e3a52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 ativa</w:t>
            </w:r>
          </w:p>
        </w:tc>
        <w:tc>
          <w:tcPr>
            <w:tcW w:w="3120" w:type="dxa"/>
          </w:tcPr>
          <w:p>
            <w:pPr/>
            <w:r>
              <w:t xml:space="preserve">fundo #e8f0fd, texto #1d6fe0</w:t>
            </w:r>
          </w:p>
        </w:tc>
        <w:tc>
          <w:tcPr>
            <w:tcW w:w="3120" w:type="dxa"/>
          </w:tcPr>
          <w:p>
            <w:pPr/>
            <w:r>
              <w:t xml:space="preserve">fundo #233247, texto #7db4ff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tints dos cards de KPI</w:t>
            </w:r>
          </w:p>
        </w:tc>
        <w:tc>
          <w:tcPr>
            <w:tcW w:w="3120" w:type="dxa"/>
          </w:tcPr>
          <w:p>
            <w:pPr/>
            <w:r>
              <w:t xml:space="preserve">#e8f0fb / #eceff4 / #dfeafb</w:t>
            </w:r>
          </w:p>
        </w:tc>
        <w:tc>
          <w:tcPr>
            <w:tcW w:w="3120" w:type="dxa"/>
          </w:tcPr>
          <w:p>
            <w:pPr/>
            <w:r>
              <w:t xml:space="preserve">#1f2a3d / #262a33 / #1b2b45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destaque no comparador</w:t>
            </w:r>
          </w:p>
        </w:tc>
        <w:tc>
          <w:tcPr>
            <w:tcW w:w="3120" w:type="dxa"/>
          </w:tcPr>
          <w:p>
            <w:pPr/>
            <w:r>
              <w:t xml:space="preserve">fundo #e7f6ee, texto #16a34a</w:t>
            </w:r>
          </w:p>
        </w:tc>
        <w:tc>
          <w:tcPr>
            <w:tcW w:w="3120" w:type="dxa"/>
          </w:tcPr>
          <w:p>
            <w:pPr/>
            <w:r>
              <w:t xml:space="preserve">fundo #16301f, texto #34c47c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alerta (misto)</w:t>
            </w:r>
          </w:p>
        </w:tc>
        <w:tc>
          <w:tcPr>
            <w:tcW w:w="3120" w:type="dxa"/>
          </w:tcPr>
          <w:p>
            <w:pPr/>
            <w:r>
              <w:t xml:space="preserve">fundo #fdf1e2, borda #d97706</w:t>
            </w:r>
          </w:p>
        </w:tc>
        <w:tc>
          <w:tcPr>
            <w:tcW w:w="3120" w:type="dxa"/>
          </w:tcPr>
          <w:p>
            <w:pPr/>
            <w:r>
              <w:t xml:space="preserve">fundo #3a2a12, borda #f0a13a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 atende / parcial / não atende</w:t>
            </w:r>
          </w:p>
        </w:tc>
        <w:tc>
          <w:tcPr>
            <w:tcW w:w="3120" w:type="dxa"/>
          </w:tcPr>
          <w:p>
            <w:pPr/>
            <w:r>
              <w:t xml:space="preserve">#16a34a / #d97706 / #dc2626</w:t>
            </w:r>
          </w:p>
        </w:tc>
        <w:tc>
          <w:tcPr>
            <w:tcW w:w="3120" w:type="dxa"/>
          </w:tcPr>
          <w:p>
            <w:pPr/>
            <w:r>
              <w:t xml:space="preserve">#34c47c / #f0a13a / #f06565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estrelas</w:t>
            </w:r>
          </w:p>
        </w:tc>
        <w:tc>
          <w:tcPr>
            <w:tcW w:w="3120" w:type="dxa"/>
          </w:tcPr>
          <w:p>
            <w:pPr/>
            <w:r>
              <w:t xml:space="preserve">#f2b01e</w:t>
            </w:r>
          </w:p>
        </w:tc>
        <w:tc>
          <w:tcPr>
            <w:tcW w:w="3120" w:type="dxa"/>
          </w:tcPr>
          <w:p>
            <w:pPr/>
            <w:r>
              <w:t xml:space="preserve">#f2b01e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rampa padrão construtivo AAA → A</w:t>
            </w:r>
          </w:p>
        </w:tc>
        <w:tc>
          <w:tcPr>
            <w:tcW w:w="3120" w:type="dxa"/>
          </w:tcPr>
          <w:p>
            <w:pPr/>
            <w:r>
              <w:t xml:space="preserve">#1d6fe0 / #7fb0f5 / #c9dcf6</w:t>
            </w:r>
          </w:p>
        </w:tc>
        <w:tc>
          <w:tcPr>
            <w:tcW w:w="3120" w:type="dxa"/>
          </w:tcPr>
          <w:p>
            <w:pPr/>
            <w:r>
              <w:t xml:space="preserve">#3b8cff / #2a5a99 / #233247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séries de gráfico (validadas p/ daltonismo)</w:t>
            </w:r>
          </w:p>
        </w:tc>
        <w:tc>
          <w:tcPr>
            <w:tcW w:w="3120" w:type="dxa"/>
          </w:tcPr>
          <w:p>
            <w:pPr/>
            <w:r>
              <w:t xml:space="preserve">#0079f2 e #b07110</w:t>
            </w:r>
          </w:p>
        </w:tc>
        <w:tc>
          <w:tcPr>
            <w:tcW w:w="3120" w:type="dxa"/>
          </w:tcPr>
          <w:p>
            <w:pPr/>
            <w:r>
              <w:t xml:space="preserve">#2f86f6 e #b8842e</w:t>
            </w:r>
          </w:p>
        </w:tc>
      </w:tr>
    </w:tbl>
    <w:p>
      <w:pPr/>
      <w:r>
        <w:rPr>
          <w:b/>
        </w:rPr>
        <w:t xml:space="preserve">Tipografia:</w:t>
      </w:r>
      <w:r>
        <w:t xml:space="preserve"> Albert Sans em toda a UI (o app não usa Titillium na interface). Título de página 20/700; título de card 14/600; corpo 13,5; rótulo de KPI 11/500; cabeçalho de tabela 11/600; números com </w:t>
      </w:r>
      <w:r>
        <w:rPr>
          <w:rStyle w:val="CodeChar"/>
        </w:rPr>
        <w:t xml:space="preserve">font-variant-numeric: tabular-nums</w:t>
      </w:r>
      <w:r>
        <w:t xml:space="preserve">.</w:t>
      </w:r>
    </w:p>
    <w:p>
      <w:pPr/>
      <w:r>
        <w:rPr>
          <w:b/>
        </w:rPr>
        <w:t xml:space="preserve">Componentes (mapear para os existentes):</w:t>
      </w:r>
      <w:r>
        <w:t xml:space="preserve"> sidebar 160 px com toggle de tema no rodapé; banner informativo; pills de página (ativa em #1c2233); tabs de classe com sublinhado azul e contador; chips de filtro; pills pequenas (Simples/Completo, períodos 1A–Máx); tabela com cabeçalho navy e hover de linha; cards de KPI tintados; badge de status (ícone + texto, nunca só cor); anel cônico do Índice MF; barrinhas de "lucros seguidos"; barra empilhada do padrão construtivo; estrelas de voto (hover preenche até a estrela); slots do comparador; bloco de resumo numérico; card escuro "Aprenda a analisar"; rodapé legal.</w:t>
      </w:r>
    </w:p>
    <w:p>
      <w:pPr/>
      <w:r>
        <w:rPr>
          <w:b/>
        </w:rPr>
        <w:t xml:space="preserve">Gráficos (SVG inline ou biblioteca do app):</w:t>
      </w:r>
    </w:p>
    <w:p>
      <w:pPr>
        <w:pStyle w:val="ListParagraph"/>
        <w:numPr>
          <w:ilvl w:val="0"/>
          <w:numId w:val="14"/>
        </w:numPr>
      </w:pPr>
      <w:r>
        <w:t xml:space="preserve">Nunca eixo duplo: "Lucro × Cotação" é base 100 numa única escala.</w:t>
      </w:r>
    </w:p>
    <w:p>
      <w:pPr>
        <w:pStyle w:val="ListParagraph"/>
        <w:numPr>
          <w:ilvl w:val="0"/>
          <w:numId w:val="14"/>
        </w:numPr>
      </w:pPr>
      <w:r>
        <w:t xml:space="preserve">Duas séries no máximo por gráfico, cores da tabela acima; legenda sempre presente com 2 séries; grade e eixos via tokens (</w:t>
      </w:r>
      <w:r>
        <w:rPr>
          <w:rStyle w:val="CodeChar"/>
        </w:rPr>
        <w:t xml:space="preserve">--grid</w:t>
      </w:r>
      <w:r>
        <w:t xml:space="preserve">, </w:t>
      </w:r>
      <w:r>
        <w:rPr>
          <w:rStyle w:val="CodeChar"/>
        </w:rPr>
        <w:t xml:space="preserve">--axis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Linhas 2,2 px; último ponto marcado com rótulo do valor; barras com cantos 4 px e rótulo só no primeiro e último ano.</w:t>
      </w:r>
    </w:p>
    <w:p>
      <w:pPr>
        <w:pStyle w:val="ListParagraph"/>
        <w:numPr>
          <w:ilvl w:val="0"/>
          <w:numId w:val="14"/>
        </w:numPr>
      </w:pPr>
      <w:r>
        <w:t xml:space="preserve">Tooltip com crosshair no hover (fixo, fundo do card, borda do tema); área de hit por ano maior que a marca.</w:t>
      </w:r>
    </w:p>
    <w:p>
      <w:pPr>
        <w:pStyle w:val="ListParagraph"/>
        <w:numPr>
          <w:ilvl w:val="0"/>
          <w:numId w:val="14"/>
        </w:numPr>
      </w:pPr>
      <w:r>
        <w:t xml:space="preserve">Mini-gráficos do comparador compartilham min/max.</w:t>
      </w:r>
    </w:p>
    <w:p>
      <w:pPr>
        <w:pStyle w:val="ListParagraph"/>
        <w:numPr>
          <w:ilvl w:val="0"/>
          <w:numId w:val="14"/>
        </w:numPr>
      </w:pPr>
      <w:r>
        <w:t xml:space="preserve">Respeitar </w:t>
      </w:r>
      <w:r>
        <w:rPr>
          <w:rStyle w:val="CodeChar"/>
        </w:rPr>
        <w:t xml:space="preserve">prefers-reduced-motion</w:t>
      </w:r>
      <w:r>
        <w:t xml:space="preserve">; nenhuma animação essencial.</w:t>
      </w:r>
    </w:p>
    <w:p>
      <w:pPr>
        <w:pStyle w:val="Heading2"/>
      </w:pPr>
      <w:r>
        <w:t xml:space="preserve">8. Requisitos não funcionais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Performance:</w:t>
      </w:r>
      <w:r>
        <w:t xml:space="preserve"> Quadro com até 5.540 ativos carregado por página/virtualização (50 linhas por vez); resposta da API &lt; 300 ms com cache; página do ativo &lt; 1,5 s no 4G. Nenhuma chamada a provedor externo no caminho da requisição.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Responsivo:</w:t>
      </w:r>
      <w:r>
        <w:t xml:space="preserve"> desktop (1440), tablet (1080) e celular (390) sem rolagem horizontal da página; tabelas rolam dentro do card.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Tema:</w:t>
      </w:r>
      <w:r>
        <w:t xml:space="preserve"> claro e escuro por tokens; segue </w:t>
      </w:r>
      <w:r>
        <w:rPr>
          <w:rStyle w:val="CodeChar"/>
        </w:rPr>
        <w:t xml:space="preserve">prefers-color-scheme</w:t>
      </w:r>
      <w:r>
        <w:t xml:space="preserve"> e o toggle do app; sem cor definida só em um tema.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Acessibilidade:</w:t>
      </w:r>
      <w:r>
        <w:t xml:space="preserve"> contraste ≥ 4,5:1 no texto; status sempre com ícone + texto; foco visível; estrelas de voto acessíveis por teclado (radio group); tabelas com </w:t>
      </w:r>
      <w:r>
        <w:rPr>
          <w:rStyle w:val="CodeChar"/>
        </w:rPr>
        <w:t xml:space="preserve">th</w:t>
      </w:r>
      <w:r>
        <w:t xml:space="preserve"> e </w:t>
      </w:r>
      <w:r>
        <w:rPr>
          <w:rStyle w:val="CodeChar"/>
        </w:rPr>
        <w:t xml:space="preserve">scope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Observabilidade:</w:t>
      </w:r>
      <w:r>
        <w:t xml:space="preserve"> logs dos jobs (início, fim, linhas gravadas, rejeitadas), alerta se um job falhar 2 vezes seguidas, painel de frescor por camada.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Auditoria:</w:t>
      </w:r>
      <w:r>
        <w:t xml:space="preserve"> histórico de votos, teses, revisões de dados e mudanças de </w:t>
      </w:r>
      <w:r>
        <w:rPr>
          <w:rStyle w:val="CodeChar"/>
        </w:rPr>
        <w:t xml:space="preserve">scoring_params</w:t>
      </w:r>
      <w:r>
        <w:t xml:space="preserve"> (quem, quando, valor anterior).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Feature flags:</w:t>
      </w:r>
      <w:r>
        <w:t xml:space="preserve"> </w:t>
      </w:r>
      <w:r>
        <w:rPr>
          <w:rStyle w:val="CodeChar"/>
        </w:rPr>
        <w:t xml:space="preserve">analise.enabled</w:t>
      </w:r>
      <w:r>
        <w:t xml:space="preserve">, </w:t>
      </w:r>
      <w:r>
        <w:rPr>
          <w:rStyle w:val="CodeChar"/>
        </w:rPr>
        <w:t xml:space="preserve">analise.ranking</w:t>
      </w:r>
      <w:r>
        <w:t xml:space="preserve">, </w:t>
      </w:r>
      <w:r>
        <w:rPr>
          <w:rStyle w:val="CodeChar"/>
        </w:rPr>
        <w:t xml:space="preserve">analise.comparador</w:t>
      </w:r>
      <w:r>
        <w:t xml:space="preserve">, </w:t>
      </w:r>
      <w:r>
        <w:rPr>
          <w:rStyle w:val="CodeChar"/>
        </w:rPr>
        <w:t xml:space="preserve">analise.classes[]</w:t>
      </w:r>
      <w:r>
        <w:t xml:space="preserve"> — lançamento gradual por plano e por usuário.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Planos (sugestão):</w:t>
      </w:r>
      <w:r>
        <w:t xml:space="preserve"> Quadro + Índice MF + voto no Gold; Comparador, múltiplos históricos, Stocks/REITs e ranking completo no Premium. O Ranking pode ser aberto como isca de engajamento — decisão de negócio, controlada por flag.</w:t>
      </w:r>
    </w:p>
    <w:p>
      <w:pPr>
        <w:pStyle w:val="Heading2"/>
      </w:pPr>
      <w:r>
        <w:t xml:space="preserve">9. Compliance obrigatório</w:t>
      </w:r>
    </w:p>
    <w:p>
      <w:pPr/>
      <w:r>
        <w:t xml:space="preserve">O My Finance opera como </w:t>
      </w:r>
      <w:r>
        <w:rPr>
          <w:b/>
        </w:rPr>
        <w:t xml:space="preserve">ferramenta de dados e comunidade</w:t>
      </w:r>
      <w:r>
        <w:t xml:space="preserve">, sem analista credenciado. Nada na área pode ser lido como análise ou recomendação de valor mobiliário (Resolução CVM 20/2021; art. 27-E da Lei 6.385/76). As regras abaixo são bloqueantes para o lançamento; um parecer jurídico de mercado de capitais valida a redação final.</w:t>
      </w:r>
    </w:p>
    <w:p>
      <w:pPr/>
      <w:r>
        <w:rPr>
          <w:b/>
        </w:rPr>
        <w:t xml:space="preserve">Linguagem (aplicada no protótipo — manter em toda tela, PDF e e-mail)</w:t>
      </w:r>
    </w:p>
    <w:p>
      <w:pPr>
        <w:pStyle w:val="ListParagraph"/>
        <w:numPr>
          <w:ilvl w:val="0"/>
          <w:numId w:val="16"/>
        </w:numPr>
      </w:pPr>
      <w:r>
        <w:t xml:space="preserve">"Índice MF" (nunca "Nota"), descrito como indicador quantitativo de fórmula pública; leitura "n de 5 critérios atendidos".</w:t>
      </w:r>
    </w:p>
    <w:p>
      <w:pPr>
        <w:pStyle w:val="ListParagraph"/>
        <w:numPr>
          <w:ilvl w:val="0"/>
          <w:numId w:val="16"/>
        </w:numPr>
      </w:pPr>
      <w:r>
        <w:t xml:space="preserve">Semáforo: Atende / Parcial / Não atende. Frases só factuais: número + referência. Proibidos adjetivos de julgamento (excelente, exigente, saudável, bom, ruim) e verbos de ação (compre, venda, aproveite).</w:t>
      </w:r>
    </w:p>
    <w:p>
      <w:pPr>
        <w:pStyle w:val="ListParagraph"/>
        <w:numPr>
          <w:ilvl w:val="0"/>
          <w:numId w:val="16"/>
        </w:numPr>
      </w:pPr>
      <w:r>
        <w:t xml:space="preserve">Comparador: "★ destaque" (valor numericamente mais favorável), "Resumo numérico", sem CTA de compra ao lado de um ativo.</w:t>
      </w:r>
    </w:p>
    <w:p>
      <w:pPr>
        <w:pStyle w:val="ListParagraph"/>
        <w:numPr>
          <w:ilvl w:val="0"/>
          <w:numId w:val="16"/>
        </w:numPr>
      </w:pPr>
      <w:r>
        <w:t xml:space="preserve">Comunidade: nota = "média das opiniões de usuários"; "compraria hoje?" = sentimento pessoal; teses marcadas "opinião de usuário".</w:t>
      </w:r>
    </w:p>
    <w:p>
      <w:pPr>
        <w:pStyle w:val="ListParagraph"/>
        <w:numPr>
          <w:ilvl w:val="0"/>
          <w:numId w:val="16"/>
        </w:numPr>
      </w:pPr>
      <w:r>
        <w:t xml:space="preserve">Botão de carteira = "Registrar na carteira" (registro de posição), nunca "Comprar".</w:t>
      </w:r>
    </w:p>
    <w:p>
      <w:pPr/>
      <w:r>
        <w:rPr>
          <w:b/>
        </w:rPr>
        <w:t xml:space="preserve">Aviso legal (rodapé de todas as telas, PDFs e e-mails):</w:t>
      </w:r>
      <w:r>
        <w:t xml:space="preserve"> "O My Finance é uma ferramenta de organização financeira e de dados. O Índice MF é um indicador quantitativo de fórmula pública; o ranking, as notas e as teses são opiniões pessoais de usuários. Nada nesta área constitui análise, consultoria ou recomendação de investimento (Resolução CVM 20/2021). Rentabilidade passada não garante resultados futuros. Decisões de investimento são de responsabilidade exclusiva do usuário."</w:t>
      </w:r>
    </w:p>
    <w:p>
      <w:pPr/>
      <w:r>
        <w:rPr>
          <w:b/>
        </w:rPr>
        <w:t xml:space="preserve">Comunidade (termos de uso e moderação)</w:t>
      </w:r>
    </w:p>
    <w:p>
      <w:pPr>
        <w:pStyle w:val="ListParagraph"/>
        <w:numPr>
          <w:ilvl w:val="0"/>
          <w:numId w:val="17"/>
        </w:numPr>
      </w:pPr>
      <w:r>
        <w:t xml:space="preserve">Termos: votos e teses são opiniões pessoais; proibido apresentar-se como analista sem CNPI, prometer retorno, publicar "compre/venda", divulgar links de venda; sem monetização de teses.</w:t>
      </w:r>
    </w:p>
    <w:p>
      <w:pPr>
        <w:pStyle w:val="ListParagraph"/>
        <w:numPr>
          <w:ilvl w:val="0"/>
          <w:numId w:val="17"/>
        </w:numPr>
      </w:pPr>
      <w:r>
        <w:t xml:space="preserve">Moderação: canal "denunciar" em toda tese; fila de revisão; remoção documentada com log (Marco Civil após decisão do STF de 2025: dever de cuidado sobre conteúdo grave; ofensa à honra exige ordem judicial). Sem amplificação algorítmica de teses (ordenação só por curtidas e data).</w:t>
      </w:r>
    </w:p>
    <w:p>
      <w:pPr>
        <w:pStyle w:val="ListParagraph"/>
        <w:numPr>
          <w:ilvl w:val="0"/>
          <w:numId w:val="17"/>
        </w:numPr>
      </w:pPr>
      <w:r>
        <w:t xml:space="preserve">Anti-manipulação conforme seção 4.4; suspeita de manipulação de mercado (art. 27-C) → quarentena e registro.</w:t>
      </w:r>
    </w:p>
    <w:p>
      <w:pPr/>
      <w:r>
        <w:rPr>
          <w:b/>
        </w:rPr>
        <w:t xml:space="preserve">LGPD</w:t>
      </w:r>
    </w:p>
    <w:p>
      <w:pPr>
        <w:pStyle w:val="ListParagraph"/>
        <w:numPr>
          <w:ilvl w:val="0"/>
          <w:numId w:val="18"/>
        </w:numPr>
      </w:pPr>
      <w:r>
        <w:t xml:space="preserve">Base legal e finalidade explícita na política de privacidade para usar a posição em carteira como peso de voto.</w:t>
      </w:r>
    </w:p>
    <w:p>
      <w:pPr>
        <w:pStyle w:val="ListParagraph"/>
        <w:numPr>
          <w:ilvl w:val="0"/>
          <w:numId w:val="18"/>
        </w:numPr>
      </w:pPr>
      <w:r>
        <w:t xml:space="preserve">Minimização: nunca expor posição individual nem identidade de quem votou; só agregados ("72% têm na carteira").</w:t>
      </w:r>
    </w:p>
    <w:p>
      <w:pPr>
        <w:pStyle w:val="ListParagraph"/>
        <w:numPr>
          <w:ilvl w:val="0"/>
          <w:numId w:val="18"/>
        </w:numPr>
      </w:pPr>
      <w:r>
        <w:t xml:space="preserve">Relatório de impacto (RIPD) antes do lançamento; direito de exclusão remove votos e teses (mantém agregados anônimos).</w:t>
      </w:r>
    </w:p>
    <w:p>
      <w:pPr/>
      <w:r>
        <w:rPr>
          <w:b/>
        </w:rPr>
        <w:t xml:space="preserve">Open Finance (BACEN)</w:t>
      </w:r>
    </w:p>
    <w:p>
      <w:pPr>
        <w:pStyle w:val="ListParagraph"/>
        <w:numPr>
          <w:ilvl w:val="0"/>
          <w:numId w:val="19"/>
        </w:numPr>
      </w:pPr>
      <w:r>
        <w:t xml:space="preserve">Acesso via participante autorizado (Pluggy, Belvo, ITP). O consentimento deve listar a finalidade "verificação de posição para peso de voto e selo Na carteira"; validade 12 meses; revogação simples; sem compartilhamento com terceiros.</w:t>
      </w:r>
    </w:p>
    <w:p>
      <w:pPr/>
      <w:r>
        <w:rPr>
          <w:b/>
        </w:rPr>
        <w:t xml:space="preserve">Gatilho futuro:</w:t>
      </w:r>
      <w:r>
        <w:t xml:space="preserve"> ao contratar um CNPI, registrar a PJ na CVM, incluir as declarações dos arts. 21/22 e só então reativar linguagem qualitativa (as strings do protótipo estão centralizadas para essa troca).</w:t>
      </w:r>
    </w:p>
    <w:p>
      <w:pPr>
        <w:pStyle w:val="Heading2"/>
      </w:pPr>
      <w:r>
        <w:t xml:space="preserve">10. Roadmap e critérios de aceite</w:t>
      </w:r>
    </w:p>
    <w:p>
      <w:pPr/>
      <w:r>
        <w:t xml:space="preserve">Quatro fases em cerca de 16 semanas até o lançamento público; a Fase 1 sai em beta fechado e só vira pública com parecer jurídico e termos aprovados.</w:t>
      </w:r>
    </w:p>
    <w:p>
      <w:pPr/>
      <w:r>
        <w:drawing>
          <wp:inline distT="0" distB="0" distL="0" distR="0">
            <wp:extent cx="5486400" cy="2220685"/>
            <wp:docPr id="2" name="image2" descr="roadmap · 4 fases, 3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4 fases, 3 gate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4 fases, 3 gates</w:t>
      </w:r>
    </w:p>
    <w:p>
      <w:pPr/>
      <w:r>
        <w:t xml:space="preserve">Cada gate é bloqueante: a fase seguinte não entra em produção sem o critério marcado.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Entregáveis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Critérios de aceite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· Fundação</w:t>
            </w:r>
          </w:p>
        </w:tc>
        <w:tc>
          <w:tcPr>
            <w:tcW w:w="3120" w:type="dxa"/>
          </w:tcPr>
          <w:p>
            <w:pPr/>
            <w:r>
              <w:t xml:space="preserve">tabelas da seção 5; jobs de cotação (B3 e EUA) e de fundamentos (CVM via provedor, SEC); cálculo do Índice MF com </w:t>
            </w:r>
            <w:r>
              <w:rPr>
                <w:rStyle w:val="CodeChar"/>
              </w:rPr>
              <w:t xml:space="preserve">scoring_params</w:t>
            </w:r>
            <w:r>
              <w:t xml:space="preserve">; selo de frescor</w:t>
            </w:r>
          </w:p>
        </w:tc>
        <w:tc>
          <w:tcPr>
            <w:tcW w:w="3120" w:type="dxa"/>
          </w:tcPr>
          <w:p>
            <w:pPr/>
            <w:r>
              <w:t xml:space="preserve">100% dos ativos das 4 classes com cotação D-1; Índice MF calculado para ≥ 95% das ações/FIIs com balanço; jobs com log e alerta; testes unitários das fórmulas da seção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· Quadro e ativo</w:t>
            </w:r>
          </w:p>
        </w:tc>
        <w:tc>
          <w:tcPr>
            <w:tcW w:w="3120" w:type="dxa"/>
          </w:tcPr>
          <w:p>
            <w:pPr/>
            <w:r>
              <w:t xml:space="preserve">Quadro com filtros, ordenação por coluna, modos Resumo/Detalhado, coluna Lucro 10 anos e paginação; Página do ativo completa (blocos 1–9 da seção 3.2, exceto comunidade; Fundamentos no nível Essencial; Valuation no nível Múltiplos, com barra de posição de 10 anos); integração com carteira e Planejamento; tese privada; busca com autocomplete; tema claro/escuro; rodapé legal</w:t>
            </w:r>
          </w:p>
        </w:tc>
        <w:tc>
          <w:tcPr>
            <w:tcW w:w="3120" w:type="dxa"/>
          </w:tcPr>
          <w:p>
            <w:pPr/>
            <w:r>
              <w:t xml:space="preserve">igual ao protótipo nas 3 larguras; API &lt; 300 ms; sem rolagem horizontal no celular; strings neutras revisadas (checklist da seção 9); beta fechado com 100 usuários por 2 semanas sem incidente crítico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· Comunidade</w:t>
            </w:r>
          </w:p>
        </w:tc>
        <w:tc>
          <w:tcPr>
            <w:tcW w:w="3120" w:type="dxa"/>
          </w:tcPr>
          <w:p>
            <w:pPr/>
            <w:r>
              <w:t xml:space="preserve">Comparador (tijolo/papel/misto); Fundamentos nível Raio-X (demonstrativos completos das 4 classes) com exportar CSV; Valuation — Meus cenários (calculadora com premissas do usuário, Meta de renda em FIIs, Salvar cenário); voto + sentimento; ranking diário (bayesiano, pesos, expiração); teses públicas, curtidas, riscos; denúncia e moderação; eventos na Agenda</w:t>
            </w:r>
          </w:p>
        </w:tc>
        <w:tc>
          <w:tcPr>
            <w:tcW w:w="3120" w:type="dxa"/>
          </w:tcPr>
          <w:p>
            <w:pPr/>
            <w:r>
              <w:t xml:space="preserve">ranking recalculado às 03h; regras anti-manipulação testadas com cenários sintéticos; fluxo de denúncia → remoção ≤ 48 h; termos e política de privacidade publicados; RIPD concluído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· Profundidade</w:t>
            </w:r>
          </w:p>
        </w:tc>
        <w:tc>
          <w:tcPr>
            <w:tcW w:w="3120" w:type="dxa"/>
          </w:tcPr>
          <w:p>
            <w:pPr/>
            <w:r>
              <w:t xml:space="preserve">extração de PDFs + tela de revisão; padrão construtivo e dados de papel; FFO/AFFO; Salvos e alertas; exportar PDF; internalização CVM/SEC</w:t>
            </w:r>
          </w:p>
        </w:tc>
        <w:tc>
          <w:tcPr>
            <w:tcW w:w="3120" w:type="dxa"/>
          </w:tcPr>
          <w:p>
            <w:pPr/>
            <w:r>
              <w:t xml:space="preserve">100 FIIs mais líquidos com </w:t>
            </w:r>
            <w:r>
              <w:rPr>
                <w:rStyle w:val="CodeChar"/>
              </w:rPr>
              <w:t xml:space="preserve">fii_property_quality</w:t>
            </w:r>
            <w:r>
              <w:t xml:space="preserve"> aprovado; ≤ 5% dos campos extraídos corrigidos na revisão; PDF do comparador com aviso legal</w:t>
            </w:r>
          </w:p>
        </w:tc>
      </w:tr>
    </w:tbl>
    <w:p>
      <w:pPr/>
      <w:r>
        <w:rPr>
          <w:b/>
        </w:rPr>
        <w:t xml:space="preserve">Time sugerido:</w:t>
      </w:r>
      <w:r>
        <w:t xml:space="preserve"> 1 dev backend (jobs, API), 1 dev front (telas), 1 curador(a) meio período a partir da Fase 3, apoio jurídico pontual nas Fases 1 e 2.</w:t>
      </w:r>
    </w:p>
    <w:p>
      <w:pPr>
        <w:pStyle w:val="Heading2"/>
      </w:pPr>
      <w:r>
        <w:t xml:space="preserve">11. Anexos e como usar o protótipo</w:t>
      </w:r>
    </w:p>
    <w:p>
      <w:pPr/>
      <w:r>
        <w:t xml:space="preserve">O protótipo </w:t>
      </w:r>
      <w:r>
        <w:rPr>
          <w:rStyle w:val="CodeChar"/>
        </w:rPr>
        <w:t xml:space="preserve">analise-de-ativos.html</w:t>
      </w:r>
      <w:r>
        <w:t xml:space="preserve"> é a referência visual e funcional: abra no navegador, alterne o tema pelo ícone lua/sol, clique nas pills e nas linhas. Ele contém três blocos que o dev pode reaproveitar diretamente: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CSS com tokens</w:t>
      </w:r>
      <w:r>
        <w:t xml:space="preserve"> (</w:t>
      </w:r>
      <w:r>
        <w:rPr>
          <w:rStyle w:val="CodeChar"/>
        </w:rPr>
        <w:t xml:space="preserve">:root</w:t>
      </w:r>
      <w:r>
        <w:t xml:space="preserve"> e </w:t>
      </w:r>
      <w:r>
        <w:rPr>
          <w:rStyle w:val="CodeChar"/>
        </w:rPr>
        <w:t xml:space="preserve">:root[data-theme="dark"]</w:t>
      </w:r>
      <w:r>
        <w:t xml:space="preserve">) e as classes dos componentes (sidebar, banner, pills, tabs, chips, tabela, KPIs, badges, anel, estrelas, slots, resumo).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data.js</w:t>
      </w:r>
      <w:r>
        <w:t xml:space="preserve">: estrutura dos objetos por classe (</w:t>
      </w:r>
      <w:r>
        <w:rPr>
          <w:rStyle w:val="CodeChar"/>
        </w:rPr>
        <w:t xml:space="preserve">cols</w:t>
      </w:r>
      <w:r>
        <w:t xml:space="preserve">, </w:t>
      </w:r>
      <w:r>
        <w:rPr>
          <w:rStyle w:val="CodeChar"/>
        </w:rPr>
        <w:t xml:space="preserve">rows</w:t>
      </w:r>
      <w:r>
        <w:t xml:space="preserve">, </w:t>
      </w:r>
      <w:r>
        <w:rPr>
          <w:rStyle w:val="CodeChar"/>
        </w:rPr>
        <w:t xml:space="preserve">detail</w:t>
      </w:r>
      <w:r>
        <w:t xml:space="preserve">, </w:t>
      </w:r>
      <w:r>
        <w:rPr>
          <w:rStyle w:val="CodeChar"/>
        </w:rPr>
        <w:t xml:space="preserve">COMPARE</w:t>
      </w:r>
      <w:r>
        <w:t xml:space="preserve">) — serve de contrato para o JSON da API. Dados são ilustrativos.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  <w:b/>
        </w:rPr>
        <w:t xml:space="preserve">app.js</w:t>
      </w:r>
      <w:r>
        <w:t xml:space="preserve">: funções </w:t>
      </w:r>
      <w:r>
        <w:rPr>
          <w:rStyle w:val="CodeChar"/>
        </w:rPr>
        <w:t xml:space="preserve">renderList</w:t>
      </w:r>
      <w:r>
        <w:t xml:space="preserve">, </w:t>
      </w:r>
      <w:r>
        <w:rPr>
          <w:rStyle w:val="CodeChar"/>
        </w:rPr>
        <w:t xml:space="preserve">renderDetail</w:t>
      </w:r>
      <w:r>
        <w:t xml:space="preserve">, </w:t>
      </w:r>
      <w:r>
        <w:rPr>
          <w:rStyle w:val="CodeChar"/>
        </w:rPr>
        <w:t xml:space="preserve">renderCompare</w:t>
      </w:r>
      <w:r>
        <w:t xml:space="preserve">, </w:t>
      </w:r>
      <w:r>
        <w:rPr>
          <w:rStyle w:val="CodeChar"/>
        </w:rPr>
        <w:t xml:space="preserve">renderRank</w:t>
      </w:r>
      <w:r>
        <w:t xml:space="preserve">, </w:t>
      </w:r>
      <w:r>
        <w:rPr>
          <w:rStyle w:val="CodeChar"/>
        </w:rPr>
        <w:t xml:space="preserve">checksFor</w:t>
      </w:r>
      <w:r>
        <w:t xml:space="preserve">, </w:t>
      </w:r>
      <w:r>
        <w:rPr>
          <w:rStyle w:val="CodeChar"/>
        </w:rPr>
        <w:t xml:space="preserve">bayes</w:t>
      </w:r>
      <w:r>
        <w:t xml:space="preserve">, </w:t>
      </w:r>
      <w:r>
        <w:rPr>
          <w:rStyle w:val="CodeChar"/>
        </w:rPr>
        <w:t xml:space="preserve">lineChart</w:t>
      </w:r>
      <w:r>
        <w:t xml:space="preserve">, </w:t>
      </w:r>
      <w:r>
        <w:rPr>
          <w:rStyle w:val="CodeChar"/>
        </w:rPr>
        <w:t xml:space="preserve">barChart</w:t>
      </w:r>
      <w:r>
        <w:t xml:space="preserve"> — a lógica de semáforo, destaque por linha, tipos de FII e ranking está implementada e pode ser portada. val.js / val_app.js: dados (VAL por classe: grupos, itens com histórico de 10 anos, premissas padrão) e renderização do Valuation (renderMult, rangeBar, renderSim, simRows, simResults) — as fórmulas dos cenários estão aqui.</w:t>
      </w:r>
    </w:p>
    <w:p>
      <w:pPr/>
      <w:r>
        <w:t xml:space="preserve">Capturas de tela de referência (claro e escuro): Quadro, Página do ativo (WEGE3, HGLG11), Comparador (FIIs tijolo, papel, misto; REITs), Ranking (Ações).</w:t>
      </w:r>
    </w:p>
    <w:p>
      <w:pPr/>
      <w:r>
        <w:t xml:space="preserve">Documentos de apoio no projeto: </w:t>
      </w:r>
      <w:r>
        <w:rPr>
          <w:rStyle w:val="CodeChar"/>
        </w:rPr>
        <w:t xml:space="preserve">analise-de-ativos-my-finance.md</w:t>
      </w:r>
      <w:r>
        <w:t xml:space="preserve"> (spec resumida), </w:t>
      </w:r>
      <w:r>
        <w:rPr>
          <w:rStyle w:val="CodeChar"/>
        </w:rPr>
        <w:t xml:space="preserve">regulatorio-analise-de-ativos.md</w:t>
      </w:r>
      <w:r>
        <w:t xml:space="preserve">, </w:t>
      </w:r>
      <w:r>
        <w:rPr>
          <w:rStyle w:val="CodeChar"/>
        </w:rPr>
        <w:t xml:space="preserve">pipeline-dados-analise-de-ativos.md</w:t>
      </w:r>
      <w:r>
        <w:t xml:space="preserve">, </w:t>
      </w:r>
      <w:r>
        <w:rPr>
          <w:rStyle w:val="CodeChar"/>
        </w:rPr>
        <w:t xml:space="preserve">funcionalidades-my-finance.md</w:t>
      </w:r>
      <w:r>
        <w:t xml:space="preserve">.</w:t>
      </w:r>
    </w:p>
    <w:p>
      <w:pPr/>
      <w:r>
        <w:rPr>
          <w:b/>
        </w:rPr>
        <w:t xml:space="preserve">Dúvidas abertas para o cliente:</w:t>
      </w:r>
      <w:r>
        <w:t xml:space="preserve"> validação dos limiares da seção 4 com o time; escolha do provedor B3 (brapi ou bolsai) e EUA (EODHD ou FMP); parceiro de Open Finance; quais classes entram em cada plano.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brapi.dev/" TargetMode="External"/><Relationship Id="rId5" Type="http://schemas.openxmlformats.org/officeDocument/2006/relationships/hyperlink" Target="https://usebolsai.com/blog/melhores-apis-dados-b3-2026-comparacao" TargetMode="External"/><Relationship Id="rId6" Type="http://schemas.openxmlformats.org/officeDocument/2006/relationships/hyperlink" Target="https://eodhd.com/pricing" TargetMode="External"/><Relationship Id="rId7" Type="http://schemas.openxmlformats.org/officeDocument/2006/relationships/hyperlink" Target="https://dados.cvm.gov.br/" TargetMode="External"/><Relationship Id="rId8" Type="http://schemas.openxmlformats.org/officeDocument/2006/relationships/hyperlink" Target="https://fintz.com.br/" TargetMode="External"/><Relationship Id="rId9" Type="http://schemas.openxmlformats.org/officeDocument/2006/relationships/hyperlink" Target="https://dados.cvm.gov.br/dataset/fii-doc-inf_mensal" TargetMode="External"/><Relationship Id="rId10" Type="http://schemas.openxmlformats.org/officeDocument/2006/relationships/hyperlink" Target="https://www.sec.gov/edgar" TargetMode="External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Especificação — Análise de Ativos My Finance</dc:title>
  <dc:description>Claude Docs node/577b5962-49ce@28 docx-w6</dc:description>
  <cp:revision>28</cp:revision>
</cp:coreProperties>
</file>