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pct" w:w="5000"/>
        <w:jc w:val="center"/>
        <w:tblLook w:firstColumn="1" w:firstRow="1" w:lastColumn="0" w:lastRow="0" w:noHBand="0" w:noVBand="1" w:val="04A0"/>
      </w:tblPr>
      <w:tblGrid>
        <w:gridCol w:w="5349"/>
        <w:gridCol w:w="5349"/>
      </w:tblGrid>
      <w:tr>
        <w:tc>
          <w:tcPr>
            <w:tcW w:type="dxa" w:w="8496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5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spacing w:before="0" w:after="20" w:line="211" w:lineRule="auto"/>
            </w:pPr>
            <w:r>
              <w:rPr>
                <w:rFonts w:ascii="Aptos" w:hAnsi="Aptos" w:eastAsia="Aptos"/>
                <w:b/>
                <w:i w:val="0"/>
                <w:color w:val="0B1F33"/>
                <w:sz w:val="44"/>
              </w:rPr>
              <w:t>MOHD HUSNI BIN ABD HALIM</w:t>
            </w:r>
          </w:p>
          <w:p>
            <w:pPr>
              <w:spacing w:before="0" w:after="80" w:line="240" w:lineRule="auto"/>
            </w:pPr>
            <w:r>
              <w:rPr>
                <w:rFonts w:ascii="Aptos" w:hAnsi="Aptos" w:eastAsia="Aptos"/>
                <w:b/>
                <w:i w:val="0"/>
                <w:color w:val="0F766E"/>
                <w:sz w:val="20"/>
              </w:rPr>
              <w:t>Principal Consultant | Certified Process Kaizen Engineer</w:t>
            </w:r>
          </w:p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5B6574"/>
                <w:sz w:val="17"/>
              </w:rPr>
              <w:t>Lean, Kaizen, OEE and operational excellence for Malaysian manufacturers that need measurable shop-floor improvement.</w:t>
            </w:r>
          </w:p>
        </w:tc>
        <w:tc>
          <w:tcPr>
            <w:tcW w:type="dxa" w:w="1944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50" w:type="dxa"/>
              <w:start w:w="60" w:type="dxa"/>
              <w:bottom w:w="30" w:type="dxa"/>
              <w:end w:w="60" w:type="dxa"/>
            </w:tcMar>
            <w:vAlign w:val="center"/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58368" cy="65836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isi-armada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8368" cy="6583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21" w:lineRule="auto"/>
              <w:jc w:val="right"/>
            </w:pPr>
            <w:r>
              <w:rPr>
                <w:rFonts w:ascii="Aptos" w:hAnsi="Aptos" w:eastAsia="Aptos"/>
                <w:b/>
                <w:i w:val="0"/>
                <w:color w:val="0B1F33"/>
                <w:sz w:val="14"/>
              </w:rPr>
              <w:t>VISI ARMADA</w:t>
              <w:br/>
              <w:t>CONSULTING</w:t>
            </w:r>
          </w:p>
        </w:tc>
      </w:tr>
    </w:tbl>
    <w:tbl>
      <w:tblPr>
        <w:tblW w:type="pct" w:w="5000"/>
        <w:tblLook w:firstColumn="1" w:firstRow="1" w:lastColumn="0" w:lastRow="0" w:noHBand="0" w:noVBand="1" w:val="04A0"/>
      </w:tblPr>
      <w:tblGrid>
        <w:gridCol w:w="10699"/>
      </w:tblGrid>
      <w:tr>
        <w:tc>
          <w:tcPr>
            <w:tcW w:type="dxa" w:w="10699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shd w:fill="C99700"/>
            <w:tcMar>
              <w:top w:w="14" w:type="dxa"/>
              <w:start w:w="0" w:type="dxa"/>
              <w:bottom w:w="14" w:type="dxa"/>
              <w:end w:w="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2"/>
              </w:rPr>
            </w:r>
          </w:p>
        </w:tc>
      </w:tr>
    </w:tbl>
    <w:tbl>
      <w:tblPr>
        <w:tblW w:type="pct" w:w="5000"/>
        <w:jc w:val="center"/>
        <w:tblLook w:firstColumn="1" w:firstRow="1" w:lastColumn="0" w:lastRow="0" w:noHBand="0" w:noVBand="1" w:val="04A0"/>
      </w:tblPr>
      <w:tblGrid>
        <w:gridCol w:w="2675"/>
        <w:gridCol w:w="2675"/>
        <w:gridCol w:w="2675"/>
        <w:gridCol w:w="2675"/>
      </w:tblGrid>
      <w:tr>
        <w:tc>
          <w:tcPr>
            <w:tcW w:type="dxa" w:w="2675"/>
            <w:shd w:fill="F4F7FA"/>
            <w:tcBorders>
              <w:top w:val="single" w:sz="6" w:space="0" w:color="E1E7EF"/>
              <w:left w:val="single" w:sz="6" w:space="0" w:color="E1E7EF"/>
              <w:bottom w:val="single" w:sz="6" w:space="0" w:color="E1E7EF"/>
              <w:right w:val="single" w:sz="6" w:space="0" w:color="E1E7EF"/>
            </w:tcBorders>
            <w:tcMar>
              <w:top w:w="80" w:type="dxa"/>
              <w:start w:w="60" w:type="dxa"/>
              <w:bottom w:w="70" w:type="dxa"/>
              <w:end w:w="60" w:type="dxa"/>
            </w:tcMar>
          </w:tcPr>
          <w:p>
            <w:pPr>
              <w:spacing w:before="20" w:after="0" w:line="240" w:lineRule="auto"/>
              <w:jc w:val="center"/>
            </w:pPr>
            <w:r>
              <w:rPr>
                <w:rFonts w:ascii="Aptos" w:hAnsi="Aptos" w:eastAsia="Aptos"/>
                <w:b/>
                <w:i w:val="0"/>
                <w:color w:val="0B1F33"/>
                <w:sz w:val="30"/>
              </w:rPr>
              <w:t>16+</w:t>
            </w:r>
          </w:p>
          <w:p>
            <w:pPr>
              <w:spacing w:before="0" w:after="20" w:line="228" w:lineRule="auto"/>
              <w:jc w:val="center"/>
            </w:pPr>
            <w:r>
              <w:rPr>
                <w:rFonts w:ascii="Aptos" w:hAnsi="Aptos" w:eastAsia="Aptos"/>
                <w:b/>
                <w:i w:val="0"/>
                <w:color w:val="5B6574"/>
                <w:sz w:val="14"/>
              </w:rPr>
              <w:t>Years industry experience</w:t>
            </w:r>
          </w:p>
        </w:tc>
        <w:tc>
          <w:tcPr>
            <w:tcW w:type="dxa" w:w="2675"/>
            <w:shd w:fill="F4F7FA"/>
            <w:tcBorders>
              <w:top w:val="single" w:sz="6" w:space="0" w:color="E1E7EF"/>
              <w:left w:val="single" w:sz="6" w:space="0" w:color="E1E7EF"/>
              <w:bottom w:val="single" w:sz="6" w:space="0" w:color="E1E7EF"/>
              <w:right w:val="single" w:sz="6" w:space="0" w:color="E1E7EF"/>
            </w:tcBorders>
            <w:tcMar>
              <w:top w:w="80" w:type="dxa"/>
              <w:start w:w="60" w:type="dxa"/>
              <w:bottom w:w="70" w:type="dxa"/>
              <w:end w:w="60" w:type="dxa"/>
            </w:tcMar>
          </w:tcPr>
          <w:p>
            <w:pPr>
              <w:spacing w:before="20" w:after="0" w:line="240" w:lineRule="auto"/>
              <w:jc w:val="center"/>
            </w:pPr>
            <w:r>
              <w:rPr>
                <w:rFonts w:ascii="Aptos" w:hAnsi="Aptos" w:eastAsia="Aptos"/>
                <w:b/>
                <w:i w:val="0"/>
                <w:color w:val="0B1F33"/>
                <w:sz w:val="30"/>
              </w:rPr>
              <w:t>500+</w:t>
            </w:r>
          </w:p>
          <w:p>
            <w:pPr>
              <w:spacing w:before="0" w:after="20" w:line="228" w:lineRule="auto"/>
              <w:jc w:val="center"/>
            </w:pPr>
            <w:r>
              <w:rPr>
                <w:rFonts w:ascii="Aptos" w:hAnsi="Aptos" w:eastAsia="Aptos"/>
                <w:b/>
                <w:i w:val="0"/>
                <w:color w:val="5B6574"/>
                <w:sz w:val="14"/>
              </w:rPr>
              <w:t>Professionals trained</w:t>
            </w:r>
          </w:p>
        </w:tc>
        <w:tc>
          <w:tcPr>
            <w:tcW w:type="dxa" w:w="2675"/>
            <w:shd w:fill="F4F7FA"/>
            <w:tcBorders>
              <w:top w:val="single" w:sz="6" w:space="0" w:color="E1E7EF"/>
              <w:left w:val="single" w:sz="6" w:space="0" w:color="E1E7EF"/>
              <w:bottom w:val="single" w:sz="6" w:space="0" w:color="E1E7EF"/>
              <w:right w:val="single" w:sz="6" w:space="0" w:color="E1E7EF"/>
            </w:tcBorders>
            <w:tcMar>
              <w:top w:w="80" w:type="dxa"/>
              <w:start w:w="60" w:type="dxa"/>
              <w:bottom w:w="70" w:type="dxa"/>
              <w:end w:w="60" w:type="dxa"/>
            </w:tcMar>
          </w:tcPr>
          <w:p>
            <w:pPr>
              <w:spacing w:before="20" w:after="0" w:line="240" w:lineRule="auto"/>
              <w:jc w:val="center"/>
            </w:pPr>
            <w:r>
              <w:rPr>
                <w:rFonts w:ascii="Aptos" w:hAnsi="Aptos" w:eastAsia="Aptos"/>
                <w:b/>
                <w:i w:val="0"/>
                <w:color w:val="0B1F33"/>
                <w:sz w:val="30"/>
              </w:rPr>
              <w:t>80+</w:t>
            </w:r>
          </w:p>
          <w:p>
            <w:pPr>
              <w:spacing w:before="0" w:after="20" w:line="228" w:lineRule="auto"/>
              <w:jc w:val="center"/>
            </w:pPr>
            <w:r>
              <w:rPr>
                <w:rFonts w:ascii="Aptos" w:hAnsi="Aptos" w:eastAsia="Aptos"/>
                <w:b/>
                <w:i w:val="0"/>
                <w:color w:val="5B6574"/>
                <w:sz w:val="14"/>
              </w:rPr>
              <w:t>Organisations / project sites</w:t>
            </w:r>
          </w:p>
        </w:tc>
        <w:tc>
          <w:tcPr>
            <w:tcW w:type="dxa" w:w="2675"/>
            <w:shd w:fill="F4F7FA"/>
            <w:tcBorders>
              <w:top w:val="single" w:sz="6" w:space="0" w:color="E1E7EF"/>
              <w:left w:val="single" w:sz="6" w:space="0" w:color="E1E7EF"/>
              <w:bottom w:val="single" w:sz="6" w:space="0" w:color="E1E7EF"/>
              <w:right w:val="single" w:sz="6" w:space="0" w:color="E1E7EF"/>
            </w:tcBorders>
            <w:tcMar>
              <w:top w:w="80" w:type="dxa"/>
              <w:start w:w="60" w:type="dxa"/>
              <w:bottom w:w="70" w:type="dxa"/>
              <w:end w:w="60" w:type="dxa"/>
            </w:tcMar>
          </w:tcPr>
          <w:p>
            <w:pPr>
              <w:spacing w:before="20" w:after="0" w:line="240" w:lineRule="auto"/>
              <w:jc w:val="center"/>
            </w:pPr>
            <w:r>
              <w:rPr>
                <w:rFonts w:ascii="Aptos" w:hAnsi="Aptos" w:eastAsia="Aptos"/>
                <w:b/>
                <w:i w:val="0"/>
                <w:color w:val="0B1F33"/>
                <w:sz w:val="30"/>
              </w:rPr>
              <w:t>11</w:t>
            </w:r>
          </w:p>
          <w:p>
            <w:pPr>
              <w:spacing w:before="0" w:after="20" w:line="228" w:lineRule="auto"/>
              <w:jc w:val="center"/>
            </w:pPr>
            <w:r>
              <w:rPr>
                <w:rFonts w:ascii="Aptos" w:hAnsi="Aptos" w:eastAsia="Aptos"/>
                <w:b/>
                <w:i w:val="0"/>
                <w:color w:val="5B6574"/>
                <w:sz w:val="14"/>
              </w:rPr>
              <w:t>Countries of project exposure</w:t>
            </w:r>
          </w:p>
        </w:tc>
      </w:tr>
    </w:tbl>
    <w:p>
      <w:pPr>
        <w:spacing w:after="80"/>
      </w:pPr>
    </w:p>
    <w:tbl>
      <w:tblPr>
        <w:tblW w:type="pct" w:w="5000"/>
        <w:jc w:val="center"/>
        <w:tblLook w:firstColumn="1" w:firstRow="1" w:lastColumn="0" w:lastRow="0" w:noHBand="0" w:noVBand="1" w:val="04A0"/>
      </w:tblPr>
      <w:tblGrid>
        <w:gridCol w:w="5349"/>
        <w:gridCol w:w="5349"/>
      </w:tblGrid>
      <w:tr>
        <w:tc>
          <w:tcPr>
            <w:tcW w:type="dxa" w:w="3528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60" w:type="dxa"/>
              <w:start w:w="85" w:type="dxa"/>
              <w:bottom w:w="40" w:type="dxa"/>
              <w:end w:w="85" w:type="dxa"/>
            </w:tcMar>
            <w:vAlign w:val="top"/>
          </w:tcPr>
          <w:p>
            <w:pPr>
              <w:spacing w:after="10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55648" cy="2907181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usni-profile-portrait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5648" cy="29071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80" w:line="240" w:lineRule="auto"/>
            </w:pPr>
            <w:r>
              <w:rPr>
                <w:rFonts w:ascii="Aptos" w:hAnsi="Aptos" w:eastAsia="Aptos"/>
                <w:b/>
                <w:i w:val="0"/>
                <w:color w:val="0F766E"/>
                <w:sz w:val="16"/>
              </w:rPr>
              <w:t>CONTACT</w:t>
            </w:r>
          </w:p>
          <w:p>
            <w:pPr>
              <w:spacing w:before="0" w:after="20" w:line="228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5"/>
              </w:rPr>
              <w:t>+60 16-526 1901</w:t>
            </w:r>
          </w:p>
          <w:p>
            <w:pPr>
              <w:spacing w:before="0" w:after="20" w:line="228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5"/>
              </w:rPr>
              <w:t>husnihalim@visiarmada.com</w:t>
            </w:r>
          </w:p>
          <w:p>
            <w:pPr>
              <w:spacing w:before="0" w:after="20" w:line="228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5"/>
              </w:rPr>
              <w:t>linkedin.com/in/husni-halim-7436b01b</w:t>
            </w:r>
          </w:p>
          <w:p>
            <w:pPr>
              <w:spacing w:before="0" w:after="20" w:line="228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5"/>
              </w:rPr>
              <w:t>Shah Alam, Selangor, Malaysia</w:t>
            </w:r>
          </w:p>
          <w:p>
            <w:pPr>
              <w:spacing w:before="60" w:after="80" w:line="240" w:lineRule="auto"/>
            </w:pPr>
            <w:r>
              <w:rPr>
                <w:rFonts w:ascii="Aptos" w:hAnsi="Aptos" w:eastAsia="Aptos"/>
                <w:b/>
                <w:i w:val="0"/>
                <w:color w:val="0F766E"/>
                <w:sz w:val="16"/>
              </w:rPr>
              <w:t>CREDENTIALS</w:t>
            </w:r>
          </w:p>
          <w:p>
            <w:pPr>
              <w:spacing w:after="40" w:line="228" w:lineRule="auto"/>
            </w:pPr>
            <w:r>
              <w:rPr>
                <w:rFonts w:ascii="Aptos" w:hAnsi="Aptos" w:eastAsia="Aptos"/>
                <w:b/>
                <w:color w:val="C99700"/>
                <w:sz w:val="15"/>
              </w:rPr>
              <w:t xml:space="preserve">EFESO  </w:t>
            </w:r>
            <w:r>
              <w:rPr>
                <w:rFonts w:ascii="Aptos" w:hAnsi="Aptos" w:eastAsia="Aptos"/>
                <w:b w:val="0"/>
                <w:color w:val="1F2937"/>
                <w:sz w:val="15"/>
              </w:rPr>
              <w:t>Certified Process Kaizen Engineer, Milan</w:t>
            </w:r>
          </w:p>
          <w:p>
            <w:pPr>
              <w:spacing w:after="40" w:line="228" w:lineRule="auto"/>
            </w:pPr>
            <w:r>
              <w:rPr>
                <w:rFonts w:ascii="Aptos" w:hAnsi="Aptos" w:eastAsia="Aptos"/>
                <w:b/>
                <w:color w:val="C99700"/>
                <w:sz w:val="15"/>
              </w:rPr>
              <w:t xml:space="preserve">HRDC  </w:t>
            </w:r>
            <w:r>
              <w:rPr>
                <w:rFonts w:ascii="Aptos" w:hAnsi="Aptos" w:eastAsia="Aptos"/>
                <w:b w:val="0"/>
                <w:color w:val="1F2937"/>
                <w:sz w:val="15"/>
              </w:rPr>
              <w:t>TTT Accredited Trainer, ID 11294</w:t>
            </w:r>
          </w:p>
          <w:p>
            <w:pPr>
              <w:spacing w:after="40" w:line="228" w:lineRule="auto"/>
            </w:pPr>
            <w:r>
              <w:rPr>
                <w:rFonts w:ascii="Aptos" w:hAnsi="Aptos" w:eastAsia="Aptos"/>
                <w:b/>
                <w:color w:val="C99700"/>
                <w:sz w:val="15"/>
              </w:rPr>
              <w:t xml:space="preserve">MPC  </w:t>
            </w:r>
            <w:r>
              <w:rPr>
                <w:rFonts w:ascii="Aptos" w:hAnsi="Aptos" w:eastAsia="Aptos"/>
                <w:b w:val="0"/>
                <w:color w:val="1F2937"/>
                <w:sz w:val="15"/>
              </w:rPr>
              <w:t>QE5.0 External Auditor / Productivity Expert</w:t>
            </w:r>
          </w:p>
          <w:p>
            <w:pPr>
              <w:spacing w:after="40" w:line="228" w:lineRule="auto"/>
            </w:pPr>
            <w:r>
              <w:rPr>
                <w:rFonts w:ascii="Aptos" w:hAnsi="Aptos" w:eastAsia="Aptos"/>
                <w:b/>
                <w:color w:val="C99700"/>
                <w:sz w:val="15"/>
              </w:rPr>
              <w:t xml:space="preserve">BSc  </w:t>
            </w:r>
            <w:r>
              <w:rPr>
                <w:rFonts w:ascii="Aptos" w:hAnsi="Aptos" w:eastAsia="Aptos"/>
                <w:b w:val="0"/>
                <w:color w:val="1F2937"/>
                <w:sz w:val="15"/>
              </w:rPr>
              <w:t>Aerospace Engineering, University of Arizona</w:t>
            </w:r>
          </w:p>
          <w:p>
            <w:pPr>
              <w:spacing w:after="40" w:line="228" w:lineRule="auto"/>
            </w:pPr>
            <w:r>
              <w:rPr>
                <w:rFonts w:ascii="Aptos" w:hAnsi="Aptos" w:eastAsia="Aptos"/>
                <w:b/>
                <w:color w:val="C99700"/>
                <w:sz w:val="15"/>
              </w:rPr>
              <w:t xml:space="preserve">ISO  </w:t>
            </w:r>
            <w:r>
              <w:rPr>
                <w:rFonts w:ascii="Aptos" w:hAnsi="Aptos" w:eastAsia="Aptos"/>
                <w:b w:val="0"/>
                <w:color w:val="1F2937"/>
                <w:sz w:val="15"/>
              </w:rPr>
              <w:t>9001:2008 Internal Auditor</w:t>
            </w:r>
          </w:p>
          <w:p>
            <w:pPr>
              <w:spacing w:before="60" w:after="80" w:line="240" w:lineRule="auto"/>
            </w:pPr>
            <w:r>
              <w:rPr>
                <w:rFonts w:ascii="Aptos" w:hAnsi="Aptos" w:eastAsia="Aptos"/>
                <w:b/>
                <w:i w:val="0"/>
                <w:color w:val="0F766E"/>
                <w:sz w:val="16"/>
              </w:rPr>
              <w:t>INDUSTRY EXPOSURE</w:t>
            </w:r>
          </w:p>
          <w:p>
            <w:pPr>
              <w:spacing w:before="0" w:after="40" w:line="228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5"/>
              </w:rPr>
              <w:t>Semiconductor, electronics, automotive, aerospace MRO, oil &amp; gas, FMCG, food &amp; beverage and general industrial.</w:t>
            </w:r>
          </w:p>
        </w:tc>
        <w:tc>
          <w:tcPr>
            <w:tcW w:type="dxa" w:w="7056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60" w:type="dxa"/>
              <w:start w:w="85" w:type="dxa"/>
              <w:bottom w:w="40" w:type="dxa"/>
              <w:end w:w="85" w:type="dxa"/>
            </w:tcMar>
            <w:vAlign w:val="top"/>
          </w:tcPr>
          <w:p>
            <w:pPr>
              <w:spacing w:before="60" w:after="80" w:line="240" w:lineRule="auto"/>
            </w:pPr>
            <w:r>
              <w:rPr>
                <w:rFonts w:ascii="Aptos" w:hAnsi="Aptos" w:eastAsia="Aptos"/>
                <w:b/>
                <w:i w:val="0"/>
                <w:color w:val="C99700"/>
                <w:sz w:val="16"/>
              </w:rPr>
              <w:t>PROFESSIONAL PROFILE</w:t>
            </w:r>
          </w:p>
          <w:p>
            <w:pPr>
              <w:spacing w:before="0" w:after="100" w:line="252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7"/>
              </w:rPr>
              <w:t>Husni Halim is a manufacturing transformation consultant and HRDC-accredited trainer specialising in Lean, Kaizen, OEE implementation and factory productivity improvement. His work is grounded in practical gemba execution: diagnosing operational losses, coaching internal teams, and building improvement systems that continue after the engagement ends.</w:t>
            </w:r>
          </w:p>
          <w:p>
            <w:pPr>
              <w:spacing w:before="0" w:after="120" w:line="252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7"/>
              </w:rPr>
              <w:t>He brings more than 16 years of hands-on manufacturing experience, including a decade with Prysmian, and has led improvement projects across Malaysia, Italy, Brazil, China, Indonesia and Norway.</w:t>
            </w:r>
          </w:p>
          <w:p>
            <w:pPr>
              <w:spacing w:before="60" w:after="80" w:line="240" w:lineRule="auto"/>
            </w:pPr>
            <w:r>
              <w:rPr>
                <w:rFonts w:ascii="Aptos" w:hAnsi="Aptos" w:eastAsia="Aptos"/>
                <w:b/>
                <w:i w:val="0"/>
                <w:color w:val="0F766E"/>
                <w:sz w:val="16"/>
              </w:rPr>
              <w:t>CORE EXPERTISE</w:t>
            </w:r>
          </w:p>
          <w:tbl>
            <w:tblPr>
              <w:tblW w:type="pct" w:w="5000"/>
              <w:tblLook w:firstColumn="1" w:firstRow="1" w:lastColumn="0" w:lastRow="0" w:noHBand="0" w:noVBand="1" w:val="04A0"/>
            </w:tblPr>
            <w:tblGrid>
              <w:gridCol w:w="5349"/>
              <w:gridCol w:w="5349"/>
            </w:tblGrid>
            <w:tr>
              <w:tc>
                <w:tcPr>
                  <w:tcW w:type="dxa" w:w="5349"/>
                  <w:shd w:fill="E7F4F2"/>
                  <w:tcBorders>
                    <w:top w:val="single" w:sz="5" w:space="0" w:color="D6E4E2"/>
                    <w:left w:val="single" w:sz="5" w:space="0" w:color="D6E4E2"/>
                    <w:bottom w:val="single" w:sz="5" w:space="0" w:color="D6E4E2"/>
                    <w:right w:val="single" w:sz="5" w:space="0" w:color="D6E4E2"/>
                  </w:tcBorders>
                  <w:tcMar>
                    <w:top w:w="65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before="0" w:after="20" w:line="240" w:lineRule="auto"/>
                  </w:pPr>
                  <w:r>
                    <w:rPr>
                      <w:rFonts w:ascii="Aptos" w:hAnsi="Aptos" w:eastAsia="Aptos"/>
                      <w:b/>
                      <w:i w:val="0"/>
                      <w:color w:val="0B1F33"/>
                      <w:sz w:val="16"/>
                    </w:rPr>
                    <w:t>OEE Implementation</w:t>
                  </w:r>
                </w:p>
                <w:p>
                  <w:pPr>
                    <w:spacing w:before="0" w:after="0" w:line="228" w:lineRule="auto"/>
                  </w:pPr>
                  <w:r>
                    <w:rPr>
                      <w:rFonts w:ascii="Aptos" w:hAnsi="Aptos" w:eastAsia="Aptos"/>
                      <w:b w:val="0"/>
                      <w:i w:val="0"/>
                      <w:color w:val="5B6574"/>
                      <w:sz w:val="14"/>
                    </w:rPr>
                    <w:t>Measurement design, Six Big Losses analysis, dashboards and improvement sprints.</w:t>
                  </w:r>
                </w:p>
              </w:tc>
              <w:tc>
                <w:tcPr>
                  <w:tcW w:type="dxa" w:w="5349"/>
                  <w:shd w:fill="F4F7FA"/>
                  <w:tcBorders>
                    <w:top w:val="single" w:sz="5" w:space="0" w:color="D6E4E2"/>
                    <w:left w:val="single" w:sz="5" w:space="0" w:color="D6E4E2"/>
                    <w:bottom w:val="single" w:sz="5" w:space="0" w:color="D6E4E2"/>
                    <w:right w:val="single" w:sz="5" w:space="0" w:color="D6E4E2"/>
                  </w:tcBorders>
                  <w:tcMar>
                    <w:top w:w="65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before="0" w:after="20" w:line="240" w:lineRule="auto"/>
                  </w:pPr>
                  <w:r>
                    <w:rPr>
                      <w:rFonts w:ascii="Aptos" w:hAnsi="Aptos" w:eastAsia="Aptos"/>
                      <w:b/>
                      <w:i w:val="0"/>
                      <w:color w:val="0B1F33"/>
                      <w:sz w:val="16"/>
                    </w:rPr>
                    <w:t>Kaizen &amp; CI</w:t>
                  </w:r>
                </w:p>
                <w:p>
                  <w:pPr>
                    <w:spacing w:before="0" w:after="0" w:line="228" w:lineRule="auto"/>
                  </w:pPr>
                  <w:r>
                    <w:rPr>
                      <w:rFonts w:ascii="Aptos" w:hAnsi="Aptos" w:eastAsia="Aptos"/>
                      <w:b w:val="0"/>
                      <w:i w:val="0"/>
                      <w:color w:val="5B6574"/>
                      <w:sz w:val="14"/>
                    </w:rPr>
                    <w:t>Gemba assessment, waste mapping, rapid events, A3 and standard work development.</w:t>
                  </w:r>
                </w:p>
              </w:tc>
            </w:tr>
            <w:tr>
              <w:tc>
                <w:tcPr>
                  <w:tcW w:type="dxa" w:w="5349"/>
                  <w:shd w:fill="E7F4F2"/>
                  <w:tcBorders>
                    <w:top w:val="single" w:sz="5" w:space="0" w:color="D6E4E2"/>
                    <w:left w:val="single" w:sz="5" w:space="0" w:color="D6E4E2"/>
                    <w:bottom w:val="single" w:sz="5" w:space="0" w:color="D6E4E2"/>
                    <w:right w:val="single" w:sz="5" w:space="0" w:color="D6E4E2"/>
                  </w:tcBorders>
                  <w:tcMar>
                    <w:top w:w="65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before="0" w:after="20" w:line="240" w:lineRule="auto"/>
                  </w:pPr>
                  <w:r>
                    <w:rPr>
                      <w:rFonts w:ascii="Aptos" w:hAnsi="Aptos" w:eastAsia="Aptos"/>
                      <w:b/>
                      <w:i w:val="0"/>
                      <w:color w:val="0B1F33"/>
                      <w:sz w:val="16"/>
                    </w:rPr>
                    <w:t>Lean Capability</w:t>
                  </w:r>
                </w:p>
                <w:p>
                  <w:pPr>
                    <w:spacing w:before="0" w:after="0" w:line="228" w:lineRule="auto"/>
                  </w:pPr>
                  <w:r>
                    <w:rPr>
                      <w:rFonts w:ascii="Aptos" w:hAnsi="Aptos" w:eastAsia="Aptos"/>
                      <w:b w:val="0"/>
                      <w:i w:val="0"/>
                      <w:color w:val="5B6574"/>
                      <w:sz w:val="14"/>
                    </w:rPr>
                    <w:t>5S, VSM, TPM, problem solving and internal champion development.</w:t>
                  </w:r>
                </w:p>
              </w:tc>
              <w:tc>
                <w:tcPr>
                  <w:tcW w:type="dxa" w:w="5349"/>
                  <w:shd w:fill="F4F7FA"/>
                  <w:tcBorders>
                    <w:top w:val="single" w:sz="5" w:space="0" w:color="D6E4E2"/>
                    <w:left w:val="single" w:sz="5" w:space="0" w:color="D6E4E2"/>
                    <w:bottom w:val="single" w:sz="5" w:space="0" w:color="D6E4E2"/>
                    <w:right w:val="single" w:sz="5" w:space="0" w:color="D6E4E2"/>
                  </w:tcBorders>
                  <w:tcMar>
                    <w:top w:w="65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before="0" w:after="20" w:line="240" w:lineRule="auto"/>
                  </w:pPr>
                  <w:r>
                    <w:rPr>
                      <w:rFonts w:ascii="Aptos" w:hAnsi="Aptos" w:eastAsia="Aptos"/>
                      <w:b/>
                      <w:i w:val="0"/>
                      <w:color w:val="0B1F33"/>
                      <w:sz w:val="16"/>
                    </w:rPr>
                    <w:t>Factory Advisory</w:t>
                  </w:r>
                </w:p>
                <w:p>
                  <w:pPr>
                    <w:spacing w:before="0" w:after="0" w:line="228" w:lineRule="auto"/>
                  </w:pPr>
                  <w:r>
                    <w:rPr>
                      <w:rFonts w:ascii="Aptos" w:hAnsi="Aptos" w:eastAsia="Aptos"/>
                      <w:b w:val="0"/>
                      <w:i w:val="0"/>
                      <w:color w:val="5B6574"/>
                      <w:sz w:val="14"/>
                    </w:rPr>
                    <w:t>Productivity audits, IR 4.0 readiness and practical improvement roadmaps.</w:t>
                  </w:r>
                </w:p>
              </w:tc>
            </w:tr>
          </w:tbl>
          <w:p>
            <w:pPr>
              <w:spacing w:before="0" w:after="4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2"/>
              </w:rPr>
            </w:r>
          </w:p>
          <w:p>
            <w:pPr>
              <w:spacing w:before="60" w:after="80" w:line="240" w:lineRule="auto"/>
            </w:pPr>
            <w:r>
              <w:rPr>
                <w:rFonts w:ascii="Aptos" w:hAnsi="Aptos" w:eastAsia="Aptos"/>
                <w:b/>
                <w:i w:val="0"/>
                <w:color w:val="0F766E"/>
                <w:sz w:val="16"/>
              </w:rPr>
              <w:t>SELECTED ENGAGEMENTS</w:t>
            </w:r>
          </w:p>
          <w:p>
            <w:pPr>
              <w:spacing w:after="20" w:line="240" w:lineRule="auto"/>
              <w:ind w:left="173" w:hanging="173"/>
            </w:pPr>
            <w:r>
              <w:rPr>
                <w:rFonts w:ascii="Aptos" w:hAnsi="Aptos" w:eastAsia="Aptos"/>
                <w:b/>
                <w:color w:val="0F766E"/>
                <w:sz w:val="16"/>
              </w:rPr>
              <w:t xml:space="preserve">• </w:t>
            </w:r>
            <w:r>
              <w:rPr>
                <w:rFonts w:ascii="Aptos" w:hAnsi="Aptos" w:eastAsia="Aptos"/>
                <w:b w:val="0"/>
                <w:color w:val="1F2937"/>
                <w:sz w:val="16"/>
              </w:rPr>
              <w:t>Lead Consultant for TERAJU Pritech4.0 OEE implementation across 30 Bumiputera factories.</w:t>
            </w:r>
          </w:p>
          <w:p>
            <w:pPr>
              <w:spacing w:after="20" w:line="240" w:lineRule="auto"/>
              <w:ind w:left="173" w:hanging="173"/>
            </w:pPr>
            <w:r>
              <w:rPr>
                <w:rFonts w:ascii="Aptos" w:hAnsi="Aptos" w:eastAsia="Aptos"/>
                <w:b/>
                <w:color w:val="0F766E"/>
                <w:sz w:val="16"/>
              </w:rPr>
              <w:t xml:space="preserve">• </w:t>
            </w:r>
            <w:r>
              <w:rPr>
                <w:rFonts w:ascii="Aptos" w:hAnsi="Aptos" w:eastAsia="Aptos"/>
                <w:b w:val="0"/>
                <w:color w:val="1F2937"/>
                <w:sz w:val="16"/>
              </w:rPr>
              <w:t>Lead Trainer for MARii Automotive IPC Program, training 330+ participants at UPM and PESDC.</w:t>
            </w:r>
          </w:p>
          <w:p>
            <w:pPr>
              <w:spacing w:after="20" w:line="240" w:lineRule="auto"/>
              <w:ind w:left="173" w:hanging="173"/>
            </w:pPr>
            <w:r>
              <w:rPr>
                <w:rFonts w:ascii="Aptos" w:hAnsi="Aptos" w:eastAsia="Aptos"/>
                <w:b/>
                <w:color w:val="0F766E"/>
                <w:sz w:val="16"/>
              </w:rPr>
              <w:t xml:space="preserve">• </w:t>
            </w:r>
            <w:r>
              <w:rPr>
                <w:rFonts w:ascii="Aptos" w:hAnsi="Aptos" w:eastAsia="Aptos"/>
                <w:b w:val="0"/>
                <w:color w:val="1F2937"/>
                <w:sz w:val="16"/>
              </w:rPr>
              <w:t>Year-long 5S workplace organisation and Kaizen culture consulting for Carotino operations.</w:t>
            </w:r>
          </w:p>
          <w:p>
            <w:pPr>
              <w:spacing w:after="20" w:line="240" w:lineRule="auto"/>
              <w:ind w:left="173" w:hanging="173"/>
            </w:pPr>
            <w:r>
              <w:rPr>
                <w:rFonts w:ascii="Aptos" w:hAnsi="Aptos" w:eastAsia="Aptos"/>
                <w:b/>
                <w:color w:val="0F766E"/>
                <w:sz w:val="16"/>
              </w:rPr>
              <w:t xml:space="preserve">• </w:t>
            </w:r>
            <w:r>
              <w:rPr>
                <w:rFonts w:ascii="Aptos" w:hAnsi="Aptos" w:eastAsia="Aptos"/>
                <w:b w:val="0"/>
                <w:color w:val="1F2937"/>
                <w:sz w:val="16"/>
              </w:rPr>
              <w:t>Training and consulting exposure with organisations and project sites including Intel, Safran, Panasonic, Petronas, Maxeon and Sharp.</w:t>
            </w:r>
          </w:p>
          <w:p>
            <w:pPr>
              <w:spacing w:before="60" w:after="80" w:line="240" w:lineRule="auto"/>
            </w:pPr>
            <w:r>
              <w:rPr>
                <w:rFonts w:ascii="Aptos" w:hAnsi="Aptos" w:eastAsia="Aptos"/>
                <w:b/>
                <w:i w:val="0"/>
                <w:color w:val="C99700"/>
                <w:sz w:val="16"/>
              </w:rPr>
              <w:t>POSITIONING</w:t>
            </w:r>
          </w:p>
          <w:p>
            <w:pPr>
              <w:spacing w:before="0" w:after="40" w:line="245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Best fit: Malaysian manufacturers seeking a practitioner-led partner for OEE improvement, Kaizen culture building, HRDC-claimable training, and practical operational excellence programs.</w:t>
            </w:r>
          </w:p>
        </w:tc>
      </w:tr>
    </w:tbl>
    <w:tbl>
      <w:tblPr>
        <w:tblW w:type="pct" w:w="5000"/>
        <w:tblLook w:firstColumn="1" w:firstRow="1" w:lastColumn="0" w:lastRow="0" w:noHBand="0" w:noVBand="1" w:val="04A0"/>
      </w:tblPr>
      <w:tblGrid>
        <w:gridCol w:w="10699"/>
      </w:tblGrid>
      <w:tr>
        <w:tc>
          <w:tcPr>
            <w:tcW w:type="dxa" w:w="10699"/>
            <w:shd w:fill="0B1F33"/>
            <w:tcBorders>
              <w:top w:val="single" w:sz="0" w:space="0" w:color="0B1F33"/>
              <w:left w:val="single" w:sz="0" w:space="0" w:color="0B1F33"/>
              <w:bottom w:val="single" w:sz="0" w:space="0" w:color="0B1F33"/>
              <w:right w:val="single" w:sz="0" w:space="0" w:color="0B1F33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 w:eastAsia="Aptos"/>
                <w:b/>
                <w:i w:val="0"/>
                <w:color w:val="FFFFFF"/>
                <w:sz w:val="16"/>
              </w:rPr>
              <w:t>Visi Armada Consulting | HRDC Registered Training Provider | www.husnihalim.com | www.visiarmada.com</w:t>
            </w:r>
          </w:p>
        </w:tc>
      </w:tr>
    </w:tbl>
    <w:sectPr w:rsidR="00FC693F" w:rsidRPr="0006063C" w:rsidSect="00034616">
      <w:pgSz w:w="11909" w:h="16834"/>
      <w:pgMar w:top="504" w:right="605" w:bottom="504" w:left="60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Husni Halim Professional Profile</dc:title>
  <dc:subject>One-page professional profile for manufacturing consulting and HRDC training</dc:subject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