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3 del Código del Trabajo (Inasistencia injustificada)</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DESPIDO-02</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Conserva el libro de asistencia o el reporte del reloj control, y el comprobante de seguimiento de Correos: son la prueba principal.</w:t>
            </w:r>
          </w:p>
          <w:p>
            <w:pPr>
              <w:spacing w:before="0" w:after="30"/>
            </w:pPr>
            <w:r>
              <w:rPr>
                <w:rFonts w:ascii="Calibri" w:hAnsi="Calibri"/>
                <w:color w:val="475569"/>
                <w:sz w:val="16"/>
              </w:rPr>
              <w:t>• Antes de enviar la carta, confirma que el trabajador no haya presentado una licencia médica ni una justificación que corresponda considerar.</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spacing w:before="120" w:after="80"/>
      </w:pPr>
      <w:r>
        <w:rPr>
          <w:rFonts w:ascii="Calibri" w:hAnsi="Calibri"/>
          <w:b/>
          <w:color w:val="0F172A"/>
          <w:sz w:val="20"/>
        </w:rPr>
        <w:t xml:space="preserve">I. CAUSAL LEGAL INVOCADA:  </w:t>
      </w:r>
      <w:r>
        <w:rPr>
          <w:rFonts w:ascii="Calibri" w:hAnsi="Calibri"/>
          <w:b w:val="0"/>
          <w:color w:val="0F172A"/>
          <w:sz w:val="20"/>
        </w:rPr>
        <w:t>La causal aplicada es la del Artículo 160 N° 3 del Código del Trabajo, esto es: 'No concurrencia del trabajador a sus labores sin causa justificada durante dos días seguidos, dos lunes en el mes o un total de tres días durante igual período de tiempo'.</w:t>
      </w:r>
    </w:p>
    <w:p>
      <w:pPr>
        <w:spacing w:before="120" w:after="80"/>
      </w:pPr>
      <w:r>
        <w:rPr>
          <w:rFonts w:ascii="Calibri" w:hAnsi="Calibri"/>
          <w:b/>
          <w:color w:val="0F172A"/>
          <w:sz w:val="20"/>
        </w:rPr>
        <w:t xml:space="preserve">II. HECHOS EN QUE SE FUNDA:  </w:t>
      </w:r>
      <w:r>
        <w:rPr>
          <w:rFonts w:ascii="Calibri" w:hAnsi="Calibri"/>
          <w:b w:val="0"/>
          <w:color w:val="0F172A"/>
          <w:sz w:val="20"/>
        </w:rPr>
        <w:t xml:space="preserve">Los hechos concretos en que se funda esta decisión consisten en que usted no concurrió a prestar sus servicios los siguientes días: </w:t>
      </w:r>
      <w:r>
        <w:rPr>
          <w:rFonts w:ascii="Calibri" w:hAnsi="Calibri"/>
          <w:b w:val="0"/>
          <w:color w:val="0F172A"/>
          <w:sz w:val="20"/>
          <w:highlight w:val="yellow"/>
        </w:rPr>
        <w:t xml:space="preserve">[INDICA LOS DÍAS EXACTOS. EJEMPLO: lunes 12 y martes 13 de julio / lunes 5 y lunes 19 de julio / un total de tres días en el mes: los días 4, 11 y 18]</w:t>
      </w:r>
      <w:r>
        <w:rPr>
          <w:rFonts w:ascii="Calibri" w:hAnsi="Calibri"/>
          <w:b w:val="0"/>
          <w:color w:val="0F172A"/>
          <w:sz w:val="20"/>
        </w:rPr>
        <w:t xml:space="preserve">, jornadas en las cuales debía cumplir funciones según su horario contractual.</w:t>
      </w:r>
    </w:p>
    <w:p>
      <w:pPr>
        <w:spacing w:before="40" w:after="80"/>
      </w:pPr>
      <w:r>
        <w:rPr>
          <w:rFonts w:ascii="Calibri" w:hAnsi="Calibri"/>
          <w:b w:val="0"/>
          <w:color w:val="0F172A"/>
          <w:sz w:val="20"/>
        </w:rPr>
        <w:t>A la fecha de esta comunicación, usted no ha presentado licencia médica emitida por un organismo de salud competente, ni ha justificado ante la empresa la causa de sus ausencias.</w:t>
      </w:r>
    </w:p>
    <w:p>
      <w:pPr>
        <w:spacing w:before="120" w:after="8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80"/>
      </w:pPr>
      <w:r>
        <w:rPr>
          <w:rFonts w:ascii="Calibri" w:hAnsi="Calibri"/>
          <w:b/>
          <w:color w:val="0F172A"/>
          <w:sz w:val="20"/>
        </w:rPr>
        <w:t xml:space="preserve">IV. FINIQUITO:  </w:t>
      </w: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850" w:bottom="936"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