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MODELO GRATUITO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CHECKLIST LEGAL Y PROTOCOLO DE DESVINCULACIÓN 2026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DESPIDO-GRATIS-03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AVISO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Es una guía de referencia: cada caso puede tener particularidades.</w:t>
            </w:r>
          </w:p>
        </w:tc>
      </w:tr>
    </w:tbl>
    <w:p>
      <w:pPr>
        <w:keepNext/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Este documento resume los 5 pasos críticos que todo empleador o departamento de Recursos Humanos debe cumplir al emitir una carta de despido en Chile, reduciendo el riesgo de multas de la Inspección del Trabajo y de demandas por despido injustificado (Art. 168).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1: VERIFICAR LAS COTIZACIONES (LEY BUSTOS)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Antes de entregar o enviar la carta, obtén las planillas de Previred con timbre electrónico.</w:t>
        <w:br/>
        <w:t>• Todas las cotizaciones previsionales (AFP, Fonasa o Isapre, seguro de cesantía y seguro de accidentes laborales) deben estar pagadas hasta el último día del mes anterior al despido.</w:t>
        <w:br/>
        <w:t>• Riesgo grave: si hay deuda, o solo declaración sin pago, el despido no produce efecto y el empleador debe seguir pagando remuneraciones hasta convalidarlo.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2: REDACTAR LOS HECHOS CON PRECISIÓN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Art. 161 (necesidades de la empresa): expresa cifras, áreas afectadas o razones técnicas comprobables. Evita frases vagas como "reorganización interna".</w:t>
        <w:br/>
        <w:t>• Art. 160 (faltas del trabajador): detalla fechas, horas y conductas exactas, respaldadas en el libro de asistencia o en actas.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3: RESPETAR LOS PLAZOS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Art. 161: aviso con 30 días de anticipación, o de forma inmediata pagando la indemnización sustitutiva del aviso previo.</w:t>
        <w:br/>
        <w:t>• Art. 160: la carta se despacha dentro de 3 días hábiles desde que cesaron los servicios.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4: ENVÍO POR CARTA CERTIFICADA Y AVISO A LA DT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Despacha por carta certificada de Correos de Chile al domicilio del contrato, o entrégala en mano con firma de recepción.</w:t>
        <w:br/>
        <w:t>• Guarda el comprobante de envío con su número de seguimiento.</w:t>
        <w:br/>
        <w:t>• Informa el término a la Inspección del Trabajo dentro del mismo plazo, por el servicio electrónico de la Dirección del Trabajo.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PASO 5: FINIQUITO EN 10 DÍAS HÁBILES (ART. 177)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• El finiquito debe ponerse a disposición del trabajador y pagarse dentro de 10 días hábiles posteriores al término.</w:t>
        <w:br/>
        <w:t>• Incluye la liquidación de sueldo, el feriado proporcional y los años de servicio, si corresponde.</w:t>
        <w:br/>
        <w:t>• Para tener poder liberatorio, debe firmarse ante un ministro de fe (notario, Inspección del Trabajo u otro que indica el Art. 177) o por la vía electrónica habilitada.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Modelo gratuito de carta de despido · Modelo de referencia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