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c) del Código del Trabajo (Vías de hecho)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DESPIDO-05</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Reúne testigos, cámaras, partes de lesiones o constancias. Si hubo lesiones, evalúa denunciar a Carabineros o a la Fiscalía.</w:t>
            </w:r>
          </w:p>
          <w:p>
            <w:pPr>
              <w:spacing w:before="0" w:after="30"/>
            </w:pPr>
            <w:r>
              <w:rPr>
                <w:rFonts w:ascii="Calibri" w:hAnsi="Calibri"/>
                <w:color w:val="475569"/>
                <w:sz w:val="16"/>
              </w:rPr>
              <w:t>• La agresión puede configurar además acoso laboral o violencia en el trabajo (Ley N° 21.643). Revisa si debes aplicar el procedimiento de investigación y las medidas de resguardo a la persona afectada.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1 letra c) del Código del Trabajo, esto es: 'Vías de hecho ejercidas por el trabajador en contra del empleador o de cualquier trabajador de la empresa'.</w:t>
      </w:r>
    </w:p>
    <w:p>
      <w:pPr>
        <w:spacing w:before="16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 AGRESIÓN: FECHA, HORA, LUGAR, A QUIÉN, QUÉ ACTOS FÍSICOS Y CON QUÉ CONSECUENCIAS. EJEMPLO: el día 3 de julio de 2026, a las 15:20 horas, en la bodega, usted empujó y golpeó en el rostro a don/doña [NOMBRE], lo que le provocó [LESIONES]]</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Los hechos descritos constituyen vías de hecho en el lugar de trabajo y justifican el término inmediato del contrato.</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