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  <w:jc w:val="left"/>
      </w:pPr>
      <w:r>
        <w:rPr>
          <w:rFonts w:ascii="Calibri" w:hAnsi="Calibri"/>
          <w:b/>
          <w:color w:val="00382E"/>
          <w:sz w:val="17"/>
        </w:rPr>
        <w:t>CálculoLaboral.cl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3  •  Formato Word Editable (.docx)</w:t>
      </w:r>
    </w:p>
    <w:p>
      <w:pPr>
        <w:keepNext/>
        <w:spacing w:after="80"/>
        <w:jc w:val="center"/>
      </w:pPr>
      <w:r>
        <w:rPr>
          <w:rFonts w:ascii="Calibri" w:hAnsi="Calibri"/>
          <w:b/>
          <w:color w:val="0F172A"/>
          <w:sz w:val="26"/>
        </w:rPr>
        <w:t>ANEXO DE TRATAMIENTO DE DATOS PERSONALES (DPA)</w:t>
        <w:br/>
        <w:t>ENTRE RESPONSABLE Y ENCARGADO DEL TRATAMIENTO</w:t>
      </w:r>
    </w:p>
    <w:p>
      <w:pPr>
        <w:keepNext/>
        <w:spacing w:after="240"/>
        <w:jc w:val="center"/>
      </w:pPr>
      <w:r>
        <w:rPr>
          <w:rFonts w:ascii="Calibri" w:hAnsi="Calibri"/>
          <w:i/>
          <w:color w:val="475569"/>
          <w:sz w:val="18"/>
        </w:rPr>
        <w:t>(Conforme al Artículo 14 bis y 14 ter de la Ley N° 21.719 de Chile)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El presente Anexo de Tratamiento de Datos Personales (Data Processing Agreement) se suscribe entre [NOMBRE DE TU EMPRESA] (RUT [RUT TU EMPRESA]), en adelante el 'Responsable', y [NOMBRE DEL PROVEEDOR / CONTADOR / SOFTWARE] (RUT [RUT PROVEEDOR]), en adelante el 'Encargado', como parte integrante del contrato de prestación de servicios vigente entre las partes.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1. OBJETO Y ALCANCE DEL TRATAMIENTO.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El Encargado tratará por cuenta del Responsable los datos personales necesarios para la prestación del servicio encomendado (contabilidad, nómina, alojamiento en la nube, soporte o desarrollo de software), comprometiéndose a no utilizarlos para ninguna otra finalidad propia ni de terceros.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2. OBLIGACIONES LEGALES DEL ENCARGADO (ARTÍCULO 14 BIS).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Tratar los datos únicamente siguiendo las instrucciones documentadas del Responsable.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Garantizar que todo su personal con acceso a los datos esté sujeto a un deber formal de confidencialidad perpetuo.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Implementar medidas técnicas y organizativas de seguridad adecuadas para garantizar un nivel de seguridad proporcional al riesgo (cifrado, control de accesos, copias de seguridad).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No subcontratar a otro proveedor ('Sub-encargado') sin la autorización previa y escrita del Responsable.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Asistir al Responsable en la tramitación y respuesta oportuna de los derechos ARCOP de los titulares dentro del plazo legal fatal de treinta (30) días corridos.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3. NOTIFICACIÓN DE INCIDENTES Y BRECHAS (ESTÁNDAR OPERATIVO 72 HORAS).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En caso de que el Encargado sufra un incidente de seguridad, vulneración, filtración, hackeo o pérdida que comprometa los datos personales del Responsable, estará legalmente obligado a notificar al Responsable a más tardar dentro de las 24 horas siguientes a haber tomado conocimiento del hecho, entregando la descripción del incidente, datos afectados y medidas correctivas inmediatas, a fin de que el Responsable pueda cumplir con la obligación de notificar a la Agencia de Protección de Datos Personales sin dilaciones indebidas (conforme al Art. 14 sexies de la Ley N° 19.628 reformada), adoptando el estándar operativo y mejor práctica internacional recomendada de un plazo máximo de 72 horas.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4. DESTINO FINAL DE LOS DATOS TRAS EL TÉRMINO DEL SERVICIO.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Finalizada la prestación del servicio principal, el Encargado deberá, a elección del Responsable, devolver íntegramente o destruir de forma segura e irrecuperable todas las bases de datos y copias existentes, emitiendo un certificado formal de destrucción.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5. RESPONSABILIDAD E INDEMNIDAD.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El incumplimiento de las obligaciones aquí previstas por parte del Encargado hará aplicables las sanciones de la Ley N° 21.719, debiendo el Encargado indemnizar íntegramente al Responsable por cualquier multa cursada por la Agencia de Protección de Datos Personales o reclamos judiciales derivados directamente de su negligencia o dolo.</w:t>
      </w:r>
    </w:p>
    <w:p>
      <w:pPr>
        <w:keepNext/>
        <w:spacing w:before="4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08"/>
        <w:gridCol w:w="4608"/>
      </w:tblGrid>
      <w:tr>
        <w:trPr>
          <w:cantSplit/>
        </w:trPr>
        <w:tc>
          <w:tcPr>
            <w:tcW w:type="dxa" w:w="4608"/>
          </w:tcPr>
          <w:p>
            <w:pPr>
              <w:jc w:val="center"/>
            </w:pPr>
            <w:r>
              <w:rPr>
                <w:rFonts w:ascii="Calibri" w:hAnsi="Calibri" w:cs="Calibri"/>
                <w:color w:val="64748B"/>
              </w:rPr>
              <w:t>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[NOMBRE DE TU EMPRESA]</w:t>
              <w:br/>
            </w:r>
            <w:r>
              <w:rPr>
                <w:rFonts w:ascii="Calibri" w:hAnsi="Calibri" w:cs="Calibri"/>
                <w:color w:val="475569"/>
                <w:sz w:val="16"/>
              </w:rPr>
              <w:t>RUT N° [RUT TU EMPRESA]</w:t>
              <w:br/>
              <w:t>RESPONSABLE DEL TRATAMIENTO</w:t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rPr>
                <w:rFonts w:ascii="Calibri" w:hAnsi="Calibri" w:cs="Calibri"/>
                <w:color w:val="64748B"/>
              </w:rPr>
              <w:t>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[NOMBRE DEL PROVEEDOR]</w:t>
              <w:br/>
            </w:r>
            <w:r>
              <w:rPr>
                <w:rFonts w:ascii="Calibri" w:hAnsi="Calibri" w:cs="Calibri"/>
                <w:color w:val="475569"/>
                <w:sz w:val="16"/>
              </w:rPr>
              <w:t>RUT N° [RUT PROVEEDOR]</w:t>
              <w:br/>
              <w:t>ENCARGADO DEL TRATAMIENTO</w:t>
            </w:r>
          </w:p>
        </w:tc>
      </w:tr>
    </w:tbl>
    <w:p>
      <w:pPr>
        <w:spacing w:before="120" w:after="0"/>
      </w:pPr>
      <w:r>
        <w:rPr>
          <w:rFonts w:ascii="Calibri" w:hAnsi="Calibri" w:cs="Calibri"/>
          <w:color w:val="64748B"/>
          <w:sz w:val="14"/>
        </w:rPr>
        <w:t xml:space="preserve">Versión 2026.10 (octubre de 2026). Modelo de referencia basado en la normativa vigente a esa fecha; no constituye asesoría legal. Si tu caso tiene particularidades, revísalo con un abogado antes de firmar. La Ley 21.719 rige desde el 1 de diciembre de 2026.</w:t>
      </w:r>
    </w:p>
    <w:sectPr w:rsidR="00FC693F" w:rsidRPr="0006063C" w:rsidSect="00034616">
      <w:pgSz w:w="11909" w:h="16834"/>
      <w:pgMar w:top="864" w:right="1296" w:bottom="86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