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left"/>
      </w:pPr>
      <w:r>
        <w:rPr>
          <w:rFonts w:ascii="Calibri" w:hAnsi="Calibri"/>
          <w:b/>
          <w:color w:val="00382E"/>
          <w:sz w:val="17"/>
        </w:rPr>
        <w:t>CálculoLaboral.cl</w:t>
        <w:br/>
      </w:r>
      <w:r>
        <w:rPr>
          <w:rFonts w:ascii="Calibri" w:hAnsi="Calibri"/>
          <w:color w:val="64748B"/>
          <w:sz w:val="17"/>
        </w:rPr>
        <w:t>Kit Ley N° 21.719 de Protección de Datos Personales  •  Documento 5  •  Formato Word Editable (.docx)</w:t>
      </w:r>
    </w:p>
    <w:p>
      <w:pPr>
        <w:keepNext/>
        <w:spacing w:after="80"/>
        <w:jc w:val="center"/>
      </w:pPr>
      <w:r>
        <w:rPr>
          <w:rFonts w:ascii="Calibri" w:hAnsi="Calibri"/>
          <w:b/>
          <w:color w:val="0F172A"/>
          <w:sz w:val="26"/>
        </w:rPr>
        <w:t>PROTOCOLO OPERATIVO DE GESTIÓN Y NOTIFICACIÓN DE BRECHAS DE SEGURIDAD</w:t>
      </w:r>
    </w:p>
    <w:p>
      <w:pPr>
        <w:keepNext/>
        <w:spacing w:after="240"/>
        <w:jc w:val="center"/>
      </w:pPr>
      <w:r>
        <w:rPr>
          <w:rFonts w:ascii="Calibri" w:hAnsi="Calibri"/>
          <w:i/>
          <w:color w:val="475569"/>
          <w:sz w:val="18"/>
        </w:rPr>
        <w:t>(Conforme al Artículo 14 sexies de la Ley N° 19.628 reformada por Ley N° 21.719 - Estándar Operativo 72 Horas)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0382E"/>
          <w:sz w:val="21"/>
        </w:rPr>
        <w:t>1. OBJETIVO</w:t>
      </w:r>
    </w:p>
    <w:p>
      <w:pPr>
        <w:spacing w:after="100" w:line="276" w:lineRule="auto"/>
        <w:jc w:val="left"/>
      </w:pPr>
      <w:r>
        <w:rPr>
          <w:rFonts w:ascii="Calibri" w:hAnsi="Calibri"/>
          <w:color w:val="1E293B"/>
          <w:sz w:val="19"/>
        </w:rPr>
        <w:t>Establecer las directrices de acción inmediata ante cualquier violación de seguridad, filtración, robo, pérdida, acceso no autorizado o alteración de datos personales custodiados por [NOMBRE DE LA EMPRESA] (RUT [RUT EMPRESA]), garantizando la contención del daño y el cumplimiento de la obligación legal de notificar a la Agencia de Protección de Datos Personales a la mayor brevedad posible y sin dilaciones indebidas (Art. 14 sexies), adoptando como estándar operativo interno y mejor práctica internacional recomendada un plazo máximo de 72 horas desde la detección del incidente.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0382E"/>
          <w:sz w:val="21"/>
        </w:rPr>
        <w:t>2. CLASIFICACIÓN DE INCIDENTES DE SEGURIDAD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Acceso Ilícito / Ciberataque: </w:t>
      </w:r>
      <w:r>
        <w:rPr>
          <w:rFonts w:ascii="Calibri" w:hAnsi="Calibri"/>
          <w:color w:val="1E293B"/>
          <w:sz w:val="19"/>
        </w:rPr>
        <w:t>Infección por Ransomware, phishing exitoso con acceso a bases de datos o cuentas de correo corporativas.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Pérdida o Robo de Dispositivos: </w:t>
      </w:r>
      <w:r>
        <w:rPr>
          <w:rFonts w:ascii="Calibri" w:hAnsi="Calibri"/>
          <w:color w:val="1E293B"/>
          <w:sz w:val="19"/>
        </w:rPr>
        <w:t>Extravío de notebooks, teléfonos móviles o discos duros con información de clientes o nóminas no encriptadas.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Error Humano Operativo: </w:t>
      </w:r>
      <w:r>
        <w:rPr>
          <w:rFonts w:ascii="Calibri" w:hAnsi="Calibri"/>
          <w:color w:val="1E293B"/>
          <w:sz w:val="19"/>
        </w:rPr>
        <w:t>Envío masivo de correos con datos personales sin copia oculta (BCC), o publicación accidental de archivos confidenciales.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0382E"/>
          <w:sz w:val="21"/>
        </w:rPr>
        <w:t>3. PROTOCOLO DE RESPUESTA EN 4 FASES</w:t>
      </w:r>
    </w:p>
    <w:p>
      <w:pPr>
        <w:spacing w:after="10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FASE 1: Detección y Contención (Horas 0 a 12): </w:t>
      </w:r>
      <w:r>
        <w:rPr>
          <w:rFonts w:ascii="Calibri" w:hAnsi="Calibri"/>
          <w:color w:val="1E293B"/>
          <w:sz w:val="19"/>
        </w:rPr>
        <w:t>Desconectar inmediatamente de la red los equipos comprometidos, cambiar contraseñas de accesos administrativos, revocar tokens de sesión y aislar el servidor afectado.</w:t>
      </w:r>
    </w:p>
    <w:p>
      <w:pPr>
        <w:spacing w:after="10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FASE 2: Evaluación Forense y del Impacto (Horas 12 a 36): </w:t>
      </w:r>
      <w:r>
        <w:rPr>
          <w:rFonts w:ascii="Calibri" w:hAnsi="Calibri"/>
          <w:color w:val="1E293B"/>
          <w:sz w:val="19"/>
        </w:rPr>
        <w:t>Determinar qué categorías de datos fueron expuestas (datos comunes vs. datos sensibles de salud/biometría) y estimar el número aproximado de titulares afectados.</w:t>
      </w:r>
    </w:p>
    <w:p>
      <w:pPr>
        <w:spacing w:after="10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FASE 3: Notificación Formal a la Agencia (Horas 36 a 72): </w:t>
      </w:r>
      <w:r>
        <w:rPr>
          <w:rFonts w:ascii="Calibri" w:hAnsi="Calibri"/>
          <w:color w:val="1E293B"/>
          <w:sz w:val="19"/>
        </w:rPr>
        <w:t>Si la brecha entraña un riesgo para los derechos de los titulares, remitir el reporte a la Agencia de Protección de Datos Personales sin dilación indebida, estableciendo como meta de cumplimiento operativo interno no superar las 72 horas desde que se tuvo conocimiento confirmado del incidente.</w:t>
      </w:r>
    </w:p>
    <w:p>
      <w:pPr>
        <w:spacing w:after="10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FASE 4: Notificación a Titulares y Mitigación (Posterior a 72 Horas): </w:t>
      </w:r>
      <w:r>
        <w:rPr>
          <w:rFonts w:ascii="Calibri" w:hAnsi="Calibri"/>
          <w:color w:val="1E293B"/>
          <w:sz w:val="19"/>
        </w:rPr>
        <w:t>Si el riesgo es de gravedad, comunicar directamente a los afectados las medidas que deben tomar (ej. cambio de claves bancarias) y registrar el incidente en la Bitácora Histórica del RAT.</w:t>
      </w:r>
    </w:p>
    <w:p>
      <w:r>
        <w:br w:type="page"/>
      </w:r>
    </w:p>
    <w:p>
      <w:pPr>
        <w:spacing w:after="200" w:before="0"/>
        <w:jc w:val="left"/>
      </w:pPr>
      <w:r>
        <w:rPr>
          <w:rFonts w:ascii="Calibri" w:hAnsi="Calibri"/>
          <w:b/>
          <w:color w:val="00382E"/>
          <w:sz w:val="17"/>
        </w:rPr>
        <w:t>CálculoLaboral.cl</w:t>
        <w:br/>
      </w:r>
      <w:r>
        <w:rPr>
          <w:rFonts w:ascii="Calibri" w:hAnsi="Calibri"/>
          <w:color w:val="64748B"/>
          <w:sz w:val="17"/>
        </w:rPr>
        <w:t>Kit Ley N° 21.719 de Protección de Datos Personales  •  Documento 5  •  Anexo: Formulario de Notificación APDP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0382E"/>
          <w:sz w:val="21"/>
        </w:rPr>
        <w:t>ANEXO: FORMULARIO DE REPORTE DE BRECHA A LA AGENCIA (72 HORAS)</w:t>
      </w:r>
    </w:p>
    <w:p>
      <w:pPr>
        <w:spacing w:after="100" w:line="276" w:lineRule="auto"/>
        <w:jc w:val="left"/>
      </w:pPr>
      <w:r>
        <w:rPr>
          <w:rFonts w:ascii="Calibri" w:hAnsi="Calibri"/>
          <w:color w:val="1E293B"/>
          <w:sz w:val="19"/>
        </w:rPr>
        <w:t>Complete el siguiente formulario y remítalo a los canales oficiales de la Agencia de Protección de Datos Personales en caso de un incidente calificado: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cs="Calibri"/>
                <w:b/>
                <w:sz w:val="18"/>
              </w:rPr>
              <w:t xml:space="preserve">A: </w:t>
            </w:r>
            <w:r>
              <w:rPr>
                <w:rFonts w:ascii="Calibri" w:hAnsi="Calibri" w:cs="Calibri"/>
                <w:sz w:val="18"/>
              </w:rPr>
              <w:t>AGENCIA DE PROTECCIÓN DE DATOS PERSONALES DE CHILE (APDP)</w:t>
              <w:br/>
            </w:r>
            <w:r>
              <w:rPr>
                <w:rFonts w:ascii="Calibri" w:hAnsi="Calibri" w:cs="Calibri"/>
                <w:b/>
                <w:sz w:val="18"/>
              </w:rPr>
              <w:t xml:space="preserve">DE: </w:t>
            </w:r>
            <w:r>
              <w:rPr>
                <w:rFonts w:ascii="Calibri" w:hAnsi="Calibri" w:cs="Calibri"/>
                <w:sz w:val="18"/>
              </w:rPr>
              <w:t>[NOMBRE DE LA EMPRESA] | RUT: [RUT EMPRESA]</w:t>
              <w:br/>
            </w:r>
            <w:r>
              <w:rPr>
                <w:rFonts w:ascii="Calibri" w:hAnsi="Calibri" w:cs="Calibri"/>
                <w:b/>
                <w:sz w:val="18"/>
              </w:rPr>
              <w:t xml:space="preserve">FECHA Y HORA DEL INCIDENTE: </w:t>
            </w:r>
            <w:r>
              <w:rPr>
                <w:rFonts w:ascii="Calibri" w:hAnsi="Calibri" w:cs="Calibri"/>
                <w:sz w:val="18"/>
              </w:rPr>
              <w:t>[Indicar fecha y hora exacta del suceso]</w:t>
              <w:br/>
            </w:r>
            <w:r>
              <w:rPr>
                <w:rFonts w:ascii="Calibri" w:hAnsi="Calibri" w:cs="Calibri"/>
                <w:b/>
                <w:sz w:val="18"/>
              </w:rPr>
              <w:t xml:space="preserve">FECHA Y HORA DE DETECCIÓN: </w:t>
            </w:r>
            <w:r>
              <w:rPr>
                <w:rFonts w:ascii="Calibri" w:hAnsi="Calibri" w:cs="Calibri"/>
                <w:sz w:val="18"/>
              </w:rPr>
              <w:t>[Indicar cuándo se tomó conocimiento confirmado]</w:t>
              <w:br/>
            </w:r>
            <w:r>
              <w:rPr>
                <w:rFonts w:ascii="Calibri" w:hAnsi="Calibri" w:cs="Calibri"/>
                <w:b/>
                <w:sz w:val="18"/>
              </w:rPr>
              <w:t xml:space="preserve">1. NATURALEZA DE LA VULNERACIÓN: </w:t>
            </w:r>
            <w:r>
              <w:rPr>
                <w:rFonts w:ascii="Calibri" w:hAnsi="Calibri" w:cs="Calibri"/>
                <w:sz w:val="18"/>
              </w:rPr>
              <w:br/>
              <w:t>[  ] Confidencialidad (Divulgación o acceso no autorizado)</w:t>
              <w:br/>
              <w:t>[  ] Integridad (Alteración o modificación indebida)</w:t>
              <w:br/>
              <w:t>[  ] Disponibilidad (Pérdida, destrucción o secuestro por Ransomware)</w:t>
              <w:br/>
            </w:r>
            <w:r>
              <w:rPr>
                <w:rFonts w:ascii="Calibri" w:hAnsi="Calibri" w:cs="Calibri"/>
                <w:b/>
                <w:sz w:val="18"/>
              </w:rPr>
              <w:t xml:space="preserve">2. CATEGORÍAS Y NÚMERO APROXIMADO DE AFECTADOS: </w:t>
            </w:r>
            <w:r>
              <w:rPr>
                <w:rFonts w:ascii="Calibri" w:hAnsi="Calibri" w:cs="Calibri"/>
                <w:sz w:val="18"/>
              </w:rPr>
              <w:br/>
              <w:t>[Describir si son clientes o trabajadores, y cantidad aproximada]</w:t>
              <w:br/>
            </w:r>
            <w:r>
              <w:rPr>
                <w:rFonts w:ascii="Calibri" w:hAnsi="Calibri" w:cs="Calibri"/>
                <w:b/>
                <w:sz w:val="18"/>
              </w:rPr>
              <w:t xml:space="preserve">3. CONSECUENCIAS Y RIESGOS PREVISIBLES: </w:t>
            </w:r>
            <w:r>
              <w:rPr>
                <w:rFonts w:ascii="Calibri" w:hAnsi="Calibri" w:cs="Calibri"/>
                <w:sz w:val="18"/>
              </w:rPr>
              <w:br/>
              <w:t>[Describir eventuales perjuicios económicos, patrimoniales o reputacionales]</w:t>
              <w:br/>
            </w:r>
            <w:r>
              <w:rPr>
                <w:rFonts w:ascii="Calibri" w:hAnsi="Calibri" w:cs="Calibri"/>
                <w:b/>
                <w:sz w:val="18"/>
              </w:rPr>
              <w:t xml:space="preserve">4. MEDIDAS CORRECTIVAS ADOPTADAS O PROPUESTAS: </w:t>
            </w:r>
            <w:r>
              <w:rPr>
                <w:rFonts w:ascii="Calibri" w:hAnsi="Calibri" w:cs="Calibri"/>
                <w:sz w:val="18"/>
              </w:rPr>
              <w:br/>
              <w:t>[Detallar parches, desconexión de red, reseteo de claves y contención realizada]</w:t>
              <w:br/>
            </w:r>
            <w:r>
              <w:rPr>
                <w:rFonts w:ascii="Calibri" w:hAnsi="Calibri" w:cs="Calibri"/>
                <w:b/>
                <w:sz w:val="18"/>
              </w:rPr>
              <w:t xml:space="preserve">5. PERSONA DE CONTACTO INSTITUCIONAL DE RESPUESTA: </w:t>
            </w:r>
            <w:r>
              <w:rPr>
                <w:rFonts w:ascii="Calibri" w:hAnsi="Calibri" w:cs="Calibri"/>
                <w:sz w:val="18"/>
              </w:rPr>
              <w:br/>
              <w:t>Nombre del Representante: [Nombre y Cargo]</w:t>
              <w:br/>
              <w:t>Teléfono Directo: [Teléfono]</w:t>
              <w:br/>
              <w:t>Correo Electrónico Oficial: [Email]</w:t>
              <w:br/>
            </w:r>
          </w:p>
        </w:tc>
      </w:tr>
    </w:tbl>
    <w:p>
      <w:pPr>
        <w:spacing w:before="120" w:after="0"/>
      </w:pPr>
      <w:r>
        <w:rPr>
          <w:rFonts w:ascii="Calibri" w:hAnsi="Calibri" w:cs="Calibri"/>
          <w:color w:val="64748B"/>
          <w:sz w:val="14"/>
        </w:rPr>
        <w:t xml:space="preserve">Versión 2026.10 (octubre de 2026). Modelo de referencia basado en la normativa vigente a esa fecha; no constituye asesoría legal. Si tu caso tiene particularidades, revísalo con un abogado antes de firmar. La Ley 21.719 rige desde el 1 de diciembre de 2026.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