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PROTOCOLO OPERATIVO DE GESTIÓN Y NOTIFICACIÓN DE BRECHAS DE SEGURIDAD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(Conforme al Artículo 14 sexies de la Ley N° 19.628 reformada por Ley N° 21.719 - Estándar Operativo 72 Horas)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OBJETIVO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Establecer las directrices de acción inmediata ante cualquier violación de seguridad, filtración, robo, pérdida, acceso no autorizado o alteración de datos personales custodiados por </w:t>
      </w:r>
      <w:r>
        <w:rPr>
          <w:rFonts w:ascii="Calibri" w:hAnsi="Calibri"/>
          <w:color w:val="1E293B"/>
          <w:sz w:val="19"/>
          <w:highlight w:val="yellow"/>
        </w:rPr>
        <w:t xml:space="preserve">[NOMBRE DE LA EMPRESA]</w:t>
      </w:r>
      <w:r>
        <w:rPr>
          <w:rFonts w:ascii="Calibri" w:hAnsi="Calibri"/>
          <w:color w:val="1E293B"/>
          <w:sz w:val="19"/>
        </w:rPr>
        <w:t xml:space="preserve"> (RUT </w:t>
      </w:r>
      <w:r>
        <w:rPr>
          <w:rFonts w:ascii="Calibri" w:hAnsi="Calibri"/>
          <w:color w:val="1E293B"/>
          <w:sz w:val="19"/>
          <w:highlight w:val="yellow"/>
        </w:rPr>
        <w:t xml:space="preserve">[RUT EMPRESA]</w:t>
      </w:r>
      <w:r>
        <w:rPr>
          <w:rFonts w:ascii="Calibri" w:hAnsi="Calibri"/>
          <w:color w:val="1E293B"/>
          <w:sz w:val="19"/>
        </w:rPr>
        <w:t xml:space="preserve">), garantizando la contención del daño y el cumplimiento de la obligación legal de notificar a la Agencia de Protección de Datos Personales a la mayor brevedad posible y sin dilaciones indebidas (Art. 14 sexies), adoptando como estándar operativo interno y mejor práctica internacional recomendada un plazo máximo de 72 horas desde la detección del incidente.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2. CLASIFICACIÓN DE INCIDENTES DE SEGURIDAD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Acceso Ilícito / Ciberataque: </w:t>
      </w:r>
      <w:r>
        <w:rPr>
          <w:rFonts w:ascii="Calibri" w:hAnsi="Calibri"/>
          <w:color w:val="1E293B"/>
          <w:sz w:val="19"/>
        </w:rPr>
        <w:t>Infección por Ransomware, phishing exitoso con acceso a bases de datos o cuentas de correo corporativas.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Pérdida o Robo de Dispositivos: </w:t>
      </w:r>
      <w:r>
        <w:rPr>
          <w:rFonts w:ascii="Calibri" w:hAnsi="Calibri"/>
          <w:color w:val="1E293B"/>
          <w:sz w:val="19"/>
        </w:rPr>
        <w:t>Extravío de notebooks, teléfonos móviles o discos duros con información de clientes o nóminas no encriptadas.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Error Humano Operativo: </w:t>
      </w:r>
      <w:r>
        <w:rPr>
          <w:rFonts w:ascii="Calibri" w:hAnsi="Calibri"/>
          <w:color w:val="1E293B"/>
          <w:sz w:val="19"/>
        </w:rPr>
        <w:t>Envío masivo de correos con datos personales sin copia oculta (BCC), o publicación accidental de archivos confidenciales.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PROTOCOLO DE RESPUESTA EN 4 FASES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1: Detección y Contención (Horas 0 a 12): </w:t>
      </w:r>
      <w:r>
        <w:rPr>
          <w:rFonts w:ascii="Calibri" w:hAnsi="Calibri"/>
          <w:color w:val="1E293B"/>
          <w:sz w:val="19"/>
        </w:rPr>
        <w:t>Desconectar inmediatamente de la red los equipos comprometidos, cambiar contraseñas de accesos administrativos, revocar tokens de sesión y aislar el servidor afectado.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2: Evaluación Forense y del Impacto (Horas 12 a 36): </w:t>
      </w:r>
      <w:r>
        <w:rPr>
          <w:rFonts w:ascii="Calibri" w:hAnsi="Calibri"/>
          <w:color w:val="1E293B"/>
          <w:sz w:val="19"/>
        </w:rPr>
        <w:t>Determinar qué categorías de datos fueron expuestas (datos comunes vs. datos sensibles de salud/biometría) y estimar el número aproximado de titulares afectados.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3: Notificación Formal a la Agencia (Horas 36 a 72): </w:t>
      </w:r>
      <w:r>
        <w:rPr>
          <w:rFonts w:ascii="Calibri" w:hAnsi="Calibri"/>
          <w:color w:val="1E293B"/>
          <w:sz w:val="19"/>
        </w:rPr>
        <w:t>Si la brecha entraña un riesgo para los derechos de los titulares, remitir el reporte a la Agencia de Protección de Datos Personales sin dilación indebida, estableciendo como meta de cumplimiento operativo interno no superar las 72 horas desde que se tuvo conocimiento confirmado del incidente.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FASE 4: Notificación a Titulares y Mitigación (Posterior a 72 Horas): </w:t>
      </w:r>
      <w:r>
        <w:rPr>
          <w:rFonts w:ascii="Calibri" w:hAnsi="Calibri"/>
          <w:color w:val="1E293B"/>
          <w:sz w:val="19"/>
        </w:rPr>
        <w:t>Si el riesgo es de gravedad, comunicar directamente a los afectados las medidas que deben tomar (ej. cambio de claves bancarias) y registrar el incidente en la Bitácora Histórica del RAT.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5  •  Anexo: Formulario de Notificación APDP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ANEXO: FORMULARIO DE REPORTE DE BRECHA A LA AGENCIA (72 HORAS)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>Complete el siguiente formulario y remítalo a los canales oficiales de la Agencia de Protección de Datos Personales en caso de un incidente calificado: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rPr>
          <w:cantSplit/>
        </w:trPr>
        <w:tc>
          <w:tcPr>
            <w:tcW w:type="dxa" w:w="9360"/>
            <w:shd w:fill="F8FAFC"/>
            <w:tcMar>
              <w:top w:w="100" w:type="dxa"/>
              <w:bottom w:w="100" w:type="dxa"/>
              <w:left w:w="130" w:type="dxa"/>
              <w:right w:w="130" w:type="dxa"/>
            </w:tcMar>
          </w:tcPr>
          <w:p>
            <w:pPr>
              <w:spacing w:after="40" w:line="276" w:lineRule="auto"/>
              <w:jc w:val="left"/>
            </w:pPr>
            <w:r>
              <w:rPr>
                <w:rFonts w:ascii="Calibri" w:hAnsi="Calibri" w:cs="Calibri"/>
                <w:b/>
                <w:sz w:val="18"/>
              </w:rPr>
              <w:t xml:space="preserve">A: </w:t>
            </w:r>
            <w:r>
              <w:rPr>
                <w:rFonts w:ascii="Calibri" w:hAnsi="Calibri" w:cs="Calibri"/>
                <w:sz w:val="18"/>
              </w:rPr>
              <w:t>AGENCIA DE PROTECCIÓN DE DATOS PERSONALES DE CHILE (APDP)</w:t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DE: </w:t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[NOMBRE DE LA EMPRESA]</w:t>
            </w:r>
            <w:r>
              <w:rPr>
                <w:rFonts w:ascii="Calibri" w:hAnsi="Calibri" w:cs="Calibri"/>
                <w:sz w:val="18"/>
              </w:rPr>
              <w:t xml:space="preserve"> | RUT: </w:t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[RUT EMPRESA]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FECHA Y HORA DEL INCIDENTE: </w:t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[Indicar fecha y hora exacta del suceso]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FECHA Y HORA DE DETECCIÓN: </w:t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[Indicar cuándo se tomó conocimiento confirmado]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1. NATURALEZA DE LA VULNERACIÓN: 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  ]</w:t>
            </w:r>
            <w:r>
              <w:rPr>
                <w:rFonts w:ascii="Calibri" w:hAnsi="Calibri" w:cs="Calibri"/>
                <w:sz w:val="18"/>
              </w:rPr>
              <w:t xml:space="preserve"> Confidencialidad (Divulgación o acceso no autorizado)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  ]</w:t>
            </w:r>
            <w:r>
              <w:rPr>
                <w:rFonts w:ascii="Calibri" w:hAnsi="Calibri" w:cs="Calibri"/>
                <w:sz w:val="18"/>
              </w:rPr>
              <w:t xml:space="preserve"> Integridad (Alteración o modificación indebida)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  ]</w:t>
            </w:r>
            <w:r>
              <w:rPr>
                <w:rFonts w:ascii="Calibri" w:hAnsi="Calibri" w:cs="Calibri"/>
                <w:sz w:val="18"/>
              </w:rPr>
              <w:t xml:space="preserve"> Disponibilidad (Pérdida, destrucción o secuestro por Ransomware)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2. CATEGORÍAS Y NÚMERO APROXIMADO DE AFECTADOS: 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[Describir si son clientes o trabajadores, y cantidad aproximada]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3. CONSECUENCIAS Y RIESGOS PREVISIBLES: 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[Describir eventuales perjuicios económicos, patrimoniales o reputacionales]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4. MEDIDAS CORRECTIVAS ADOPTADAS O PROPUESTAS: 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[Detallar parches, desconexión de red, reseteo de claves y contención realizada]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b/>
                <w:sz w:val="18"/>
              </w:rPr>
              <w:t xml:space="preserve">5. PERSONA DE CONTACTO INSTITUCIONAL DE RESPUESTA: 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</w:rPr>
              <w:t xml:space="preserve">Nombre del Representante: </w:t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[Nombre y Cargo]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</w:rPr>
              <w:t xml:space="preserve">Teléfono Directo: </w:t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[Teléfono]</w:t>
            </w:r>
            <w:r>
              <w:rPr>
                <w:rFonts w:ascii="Calibri" w:hAnsi="Calibri" w:cs="Calibri"/>
                <w:sz w:val="18"/>
              </w:rPr>
              <w:br/>
            </w:r>
            <w:r>
              <w:rPr>
                <w:rFonts w:ascii="Calibri" w:hAnsi="Calibri" w:cs="Calibri"/>
                <w:sz w:val="18"/>
              </w:rPr>
              <w:t xml:space="preserve">Correo Electrónico Oficial: </w:t>
            </w:r>
            <w:r>
              <w:rPr>
                <w:rFonts w:ascii="Calibri" w:hAnsi="Calibri" w:cs="Calibri"/>
                <w:sz w:val="18"/>
                <w:highlight w:val="yellow"/>
              </w:rPr>
              <w:t xml:space="preserve">[Email]</w:t>
            </w:r>
            <w:r>
              <w:rPr>
                <w:rFonts w:ascii="Calibri" w:hAnsi="Calibri" w:cs="Calibri"/>
                <w:sz w:val="18"/>
              </w:rPr>
              <w:br/>
            </w:r>
          </w:p>
        </w:tc>
      </w:tr>
    </w:tbl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