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 | Artículo 161 inciso primero del Código del Trabajo (Necesidades de la empresa)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AVISO DE TÉRMINO DE CONTRATO DE TRABAJO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DESPIDO-01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con datos reales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o entregas la carta al menos 30 días antes del término, o pagas la indemnización sustitutiva (última remuneración mensual) y la entregas dentro de los 3 DÍAS HÁBILES siguientes a la separación. En ambos casos, con copia a la Inspección del Trabajo en el mismo plazo.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 Sin ellos el despido no produce efecto (Art. 162).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En un juicio solo podrás defender los hechos que escribas en la carta (Art. 454 N° 1). Evita frases vagas como "reorganización interna": indica cifras, áreas afectadas o razones técnicas comprobables.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invocar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tiene fuero (maternal, sindical u otro), esta causal no lo habilita: el juez solo puede autorizar el término en los casos de los artículos 159 N° 4 y 5 y 160 (Art. 174).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Comuna / Ciudad: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primero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el cual se hará efectivo a contar del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[DÍA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I. CAUSAL LEGAL INVOCADA: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La causal aplicada es la del Artículo 161 inciso primero del Código del Trabajo, esto es, las necesidades de funcionamiento de la empresa, establecimiento o servicio, tales como las derivadas de la racionalización o modernización de los mismos, bajas en la productividad, cambios en las condiciones del mercado o de la economía, que hagan necesaria la separación de uno o más trabajadores.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II. HECHOS EN QUE SE FUNDA: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Los hechos concretos que justifican esta decisión son los siguientes: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CON PRECISIÓN LOS HECHOS OBJETIVOS. EJEMPLO: reestructuración del departamento de operaciones / supresión definitiva del puesto de trabajo / baja sostenida en la demanda del área, respaldada en balance o informes financieros]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El cargo que usted desempeñaba ya no resulta necesario para el funcionamiento de la empresa porque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[TAREAS QUE SE REORGANIZAN, ELIMINAN O EXTERNALIZAN]</w:t>
      </w:r>
      <w:r>
        <w:rPr>
          <w:rFonts w:ascii="Calibri" w:hAnsi="Calibri"/>
          <w:b w:val="0"/>
          <w:color w:val="0F172A"/>
          <w:sz w:val="20"/>
        </w:rPr>
        <w:t xml:space="preserve">. La decisión obedece a motivos objetivos de la empresa y no a factores relacionados con la persona del trabajador.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III. ESTADO DE PAGO DE COTIZACIONES PREVISIONALES: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IV. FINIQUITO: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Dentro del plazo de 10 días hábiles contado desde la separación, la empresa pondrá a su disposición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el finiquito, que incluirá: a) las remuneraciones adeudadas hasta el último día trabajado; b) la indemnización sustitutiva del aviso previo, si no se otorgó con 30 días de anticipación; c) la indemnización por años de servicio, conforme al Art. 163; d) la compensación del feriado legal y proporcional pendiente (Art. 73); y e) las demás prestaciones devengadas a la fecha.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