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/>
        <w:jc w:val="left"/>
      </w:pPr>
      <w:r>
        <w:rPr>
          <w:rFonts w:ascii="Calibri" w:hAnsi="Calibri"/>
          <w:b/>
          <w:color w:val="0284C7"/>
          <w:sz w:val="17"/>
        </w:rPr>
        <w:t>CÁLCULO LABORAL CHILE  |  PLATAFORMA LEGALTECH</w:t>
        <w:br/>
      </w:r>
      <w:r>
        <w:rPr>
          <w:rFonts w:ascii="Calibri" w:hAnsi="Calibri"/>
          <w:color w:val="64748B"/>
          <w:sz w:val="17"/>
        </w:rPr>
        <w:t>Kit Ley N° 21.719 de Protección de Datos Personales  •  Documento 0  •  Guía Maestra de Implementación</w:t>
      </w:r>
    </w:p>
    <w:p>
      <w:pPr>
        <w:keepNext/>
        <w:spacing w:after="80"/>
        <w:jc w:val="center"/>
      </w:pPr>
      <w:r>
        <w:rPr>
          <w:rFonts w:ascii="Calibri" w:hAnsi="Calibri"/>
          <w:b/>
          <w:color w:val="0F172A"/>
          <w:sz w:val="26"/>
        </w:rPr>
        <w:t>MANUAL DE USO E IMPLEMENTACIÓN RÁPIDA</w:t>
      </w:r>
    </w:p>
    <w:p>
      <w:pPr>
        <w:keepNext/>
        <w:spacing w:after="240"/>
        <w:jc w:val="center"/>
      </w:pPr>
      <w:r>
        <w:rPr>
          <w:rFonts w:ascii="Calibri" w:hAnsi="Calibri"/>
          <w:i/>
          <w:color w:val="475569"/>
          <w:sz w:val="18"/>
        </w:rPr>
        <w:t>Kit LegalTech Ley N° 21.719 de Protección de Datos Personales (Chile 2026)</w:t>
        <w:br/>
        <w:t>Guía práctica paso a paso para Micro, Pequeñas y Medianas Empresas (MiPymes)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17"/>
      </w:tblGrid>
      <w:tr>
        <w:trPr>
          <w:cantSplit/>
        </w:trPr>
        <w:tc>
          <w:tcPr>
            <w:tcW w:type="dxa" w:w="9461"/>
            <w:shd w:fill="F0FD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color w:val="0284C7"/>
                <w:sz w:val="19"/>
              </w:rPr>
              <w:t>PRINCIPIO BÁSICO PARA EL EMPRESARIO PYME (PARA NO ABOGADOS):</w:t>
              <w:br/>
            </w:r>
            <w:r>
              <w:rPr>
                <w:rFonts w:ascii="Calibri" w:hAnsi="Calibri"/>
                <w:color w:val="334155"/>
                <w:sz w:val="18"/>
              </w:rPr>
              <w:t>La Ley N° 21.719 y la Dirección del Trabajo (DT) no exigen que una pyme instale costosos servidores ni gaste $2.000.000 en estudios jurídicos. Lo que la ley exige formalmente es el Principio de Responsabilidad y Diligencia Debida: demostrar por escrito que cuidas los datos de tus dependientes y clientes, que los contratos contienen cláusulas de confidencialidad y que sabes qué hacer si ocurre un incidente.</w:t>
            </w:r>
          </w:p>
        </w:tc>
      </w:tr>
    </w:tbl>
    <w:p>
      <w:pPr>
        <w:spacing w:after="80"/>
      </w:pPr>
    </w:p>
    <w:p>
      <w:pPr>
        <w:keepNext/>
        <w:spacing w:before="200" w:after="60"/>
        <w:jc w:val="left"/>
      </w:pPr>
      <w:r>
        <w:rPr>
          <w:rFonts w:ascii="Calibri" w:hAnsi="Calibri"/>
          <w:b/>
          <w:color w:val="0284C7"/>
          <w:sz w:val="21"/>
        </w:rPr>
        <w:t>1. LA RUTA DE IMPLEMENTACIÓN EN 3 PASOS (15 MINUTOS)</w:t>
      </w:r>
    </w:p>
    <w:p>
      <w:pPr>
        <w:spacing w:after="100" w:line="276" w:lineRule="auto"/>
        <w:jc w:val="left"/>
      </w:pPr>
      <w:r>
        <w:rPr>
          <w:rFonts w:ascii="Calibri" w:hAnsi="Calibri"/>
          <w:b/>
          <w:color w:val="0F172A"/>
          <w:sz w:val="19"/>
        </w:rPr>
        <w:t xml:space="preserve">PASO 1 (HOY MISMO - ÁREA LABORAL): </w:t>
      </w:r>
      <w:r>
        <w:rPr>
          <w:rFonts w:ascii="Calibri" w:hAnsi="Calibri"/>
          <w:color w:val="1E293B"/>
          <w:sz w:val="19"/>
        </w:rPr>
        <w:t>Imprime el Documento 1 (Anexo Laboral). Complétalo con el nombre de tu empresa, RUT y los datos de cada trabajador. Fírmalo junto a la entrega de la liquidación de sueldo y archívalo en la carpeta de personal. Con esto cumples la Resolución Exenta N° 38 de 2024 de la Dirección del Trabajo sobre relojes control y blindas la confidencialidad de licencias médicas.</w:t>
      </w:r>
    </w:p>
    <w:p>
      <w:pPr>
        <w:spacing w:after="100" w:line="276" w:lineRule="auto"/>
        <w:jc w:val="left"/>
      </w:pPr>
      <w:r>
        <w:rPr>
          <w:rFonts w:ascii="Calibri" w:hAnsi="Calibri"/>
          <w:b/>
          <w:color w:val="0F172A"/>
          <w:sz w:val="19"/>
        </w:rPr>
        <w:t xml:space="preserve">PASO 2 (ESTA SEMANA - ÁREA ADMINISTRATIVA Y WEB): </w:t>
      </w:r>
      <w:r>
        <w:rPr>
          <w:rFonts w:ascii="Calibri" w:hAnsi="Calibri"/>
          <w:color w:val="1E293B"/>
          <w:sz w:val="19"/>
        </w:rPr>
        <w:t>Abre el Documento 4 (Excel RAT). En la Fila 3, cambia [NOMBRE DE TU EMPRESA] y [RUT EMPRESA] por tus datos reales y guárdalo en tu computador. Publica el Documento 2 (Política de Privacidad) en el pie de tu sitio web o imprímela para tenerla disponible ante clientes.</w:t>
      </w:r>
    </w:p>
    <w:p>
      <w:pPr>
        <w:spacing w:after="100" w:line="276" w:lineRule="auto"/>
        <w:jc w:val="left"/>
      </w:pPr>
      <w:r>
        <w:rPr>
          <w:rFonts w:ascii="Calibri" w:hAnsi="Calibri"/>
          <w:b/>
          <w:color w:val="0F172A"/>
          <w:sz w:val="19"/>
        </w:rPr>
        <w:t xml:space="preserve">PASO 3 (DE RESGUARDO - PROTOCOLOS DE EMERGENCIA): </w:t>
      </w:r>
      <w:r>
        <w:rPr>
          <w:rFonts w:ascii="Calibri" w:hAnsi="Calibri"/>
          <w:color w:val="1E293B"/>
          <w:sz w:val="19"/>
        </w:rPr>
        <w:t>Archiva los Documentos 3, 5, 6 y 7 en la carpeta digital de administración. Servirán como prueba de cumplimiento si la Dirección del Trabajo o la Agencia de Protección de Datos Personales (APDP) te fiscalizan.</w:t>
      </w:r>
    </w:p>
    <w:p>
      <w:r>
        <w:br w:type="page"/>
      </w:r>
    </w:p>
    <w:p>
      <w:pPr>
        <w:spacing w:after="200" w:before="0"/>
        <w:jc w:val="left"/>
      </w:pPr>
      <w:r>
        <w:rPr>
          <w:rFonts w:ascii="Calibri" w:hAnsi="Calibri"/>
          <w:b/>
          <w:color w:val="0284C7"/>
          <w:sz w:val="17"/>
        </w:rPr>
        <w:t>CÁLCULO LABORAL CHILE  |  PLATAFORMA LEGALTECH</w:t>
        <w:br/>
      </w:r>
      <w:r>
        <w:rPr>
          <w:rFonts w:ascii="Calibri" w:hAnsi="Calibri"/>
          <w:color w:val="64748B"/>
          <w:sz w:val="17"/>
        </w:rPr>
        <w:t>Kit Ley N° 21.719 de Protección de Datos Personales  •  Documento 0  •  Guía Práctica por Sectores y Rubros</w:t>
      </w:r>
    </w:p>
    <w:p>
      <w:pPr>
        <w:keepNext/>
        <w:spacing w:before="200" w:after="60"/>
        <w:jc w:val="left"/>
      </w:pPr>
      <w:r>
        <w:rPr>
          <w:rFonts w:ascii="Calibri" w:hAnsi="Calibri"/>
          <w:b/>
          <w:color w:val="0284C7"/>
          <w:sz w:val="21"/>
        </w:rPr>
        <w:t>2. GUÍA POR RUBROS Y SECTORES: ¿ES ESTANDARIZADO O DIFERENTE?</w:t>
      </w:r>
    </w:p>
    <w:p>
      <w:pPr>
        <w:spacing w:after="100" w:line="276" w:lineRule="auto"/>
        <w:jc w:val="left"/>
      </w:pPr>
      <w:r>
        <w:rPr>
          <w:rFonts w:ascii="Calibri" w:hAnsi="Calibri"/>
          <w:color w:val="1E293B"/>
          <w:sz w:val="19"/>
        </w:rPr>
        <w:t>La ley es IDÉNTICA para todas las empresas de Chile. El 85% del tratamiento de datos (sueldos, boletas, facturas, contratos y licencias médicas) es exactamente el mismo en cualquier rubro. Si perteneces a un sector con particularidades operativas, revisa la siguiente tabla: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rPr>
          <w:cantSplit/>
        </w:trPr>
        <w:tc>
          <w:tcPr>
            <w:tcW w:type="dxa" w:w="3154"/>
            <w:shd w:fill="0F172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Rubro / Sector</w:t>
            </w:r>
          </w:p>
        </w:tc>
        <w:tc>
          <w:tcPr>
            <w:tcW w:type="dxa" w:w="3154"/>
            <w:shd w:fill="0F172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¿Qué datos específicos maneja?</w:t>
            </w:r>
          </w:p>
        </w:tc>
        <w:tc>
          <w:tcPr>
            <w:tcW w:type="dxa" w:w="3154"/>
            <w:shd w:fill="0F172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Instrucción de aplicación con el Kit</w:t>
            </w:r>
          </w:p>
        </w:tc>
      </w:tr>
      <w:tr>
        <w:trPr>
          <w:cantSplit/>
        </w:trPr>
        <w:tc>
          <w:tcPr>
            <w:tcW w:type="dxa" w:w="315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E293B"/>
                <w:sz w:val="17"/>
              </w:rPr>
              <w:t>Servicios B2B, Talleres, Fábricas y Oficinas</w:t>
            </w:r>
          </w:p>
        </w:tc>
        <w:tc>
          <w:tcPr>
            <w:tcW w:type="dxa" w:w="315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Nómina de trabajadores, emisión de facturas a clientes empresa y proveedores.</w:t>
            </w:r>
          </w:p>
        </w:tc>
        <w:tc>
          <w:tcPr>
            <w:tcW w:type="dxa" w:w="315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100% Plug &amp; Play. No requiere modificar ninguna cláusula. Usa el kit tal cual viene pre-rellenado.</w:t>
            </w:r>
          </w:p>
        </w:tc>
      </w:tr>
      <w:tr>
        <w:trPr>
          <w:cantSplit/>
        </w:trPr>
        <w:tc>
          <w:tcPr>
            <w:tcW w:type="dxa" w:w="315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E293B"/>
                <w:sz w:val="17"/>
              </w:rPr>
              <w:t>Comercio Online (E-commerce) y Tiendas</w:t>
            </w:r>
          </w:p>
        </w:tc>
        <w:tc>
          <w:tcPr>
            <w:tcW w:type="dxa" w:w="315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Direcciones de despacho a particulares, teléfonos y pasarelas de pago (Transbank, Flow, etc.).</w:t>
            </w:r>
          </w:p>
        </w:tc>
        <w:tc>
          <w:tcPr>
            <w:tcW w:type="dxa" w:w="315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Publica el Documento 2 en tu web. En el Excel RAT, mantén activa la fila RAT-05 (Ventas web) y nombra a los couriers en Columna H.</w:t>
            </w:r>
          </w:p>
        </w:tc>
      </w:tr>
      <w:tr>
        <w:trPr>
          <w:cantSplit/>
        </w:trPr>
        <w:tc>
          <w:tcPr>
            <w:tcW w:type="dxa" w:w="315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E293B"/>
                <w:sz w:val="17"/>
              </w:rPr>
              <w:t>Transporte, Logística y Fletes</w:t>
            </w:r>
          </w:p>
        </w:tc>
        <w:tc>
          <w:tcPr>
            <w:tcW w:type="dxa" w:w="315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Geolocalización (GPS) en camiones, furgones o motocicletas asignadas a choferes.</w:t>
            </w:r>
          </w:p>
        </w:tc>
        <w:tc>
          <w:tcPr>
            <w:tcW w:type="dxa" w:w="315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En el Documento 1 (Anexo), deja constancia de que los vehículos tienen GPS por seguridad de ruta. En el RAT añade la fila RAT-07: Rastreo GPS.</w:t>
            </w:r>
          </w:p>
        </w:tc>
      </w:tr>
      <w:tr>
        <w:trPr>
          <w:cantSplit/>
        </w:trPr>
        <w:tc>
          <w:tcPr>
            <w:tcW w:type="dxa" w:w="315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E293B"/>
                <w:sz w:val="17"/>
              </w:rPr>
              <w:t>Salud y Bienestar (Clínicas, Dentistas)</w:t>
            </w:r>
          </w:p>
        </w:tc>
        <w:tc>
          <w:tcPr>
            <w:tcW w:type="dxa" w:w="315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Fichas clínicas y diagnósticos médicos de pacientes particulares (Datos Sensibles).</w:t>
            </w:r>
          </w:p>
        </w:tc>
        <w:tc>
          <w:tcPr>
            <w:tcW w:type="dxa" w:w="315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Recaba consentimiento expreso en ficha de ingreso y firma obligatoriamente el Documento 3 (DPA) con tu software médico en la nube.</w:t>
            </w:r>
          </w:p>
        </w:tc>
      </w:tr>
      <w:tr>
        <w:trPr>
          <w:cantSplit/>
        </w:trPr>
        <w:tc>
          <w:tcPr>
            <w:tcW w:type="dxa" w:w="315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E293B"/>
                <w:sz w:val="17"/>
              </w:rPr>
              <w:t>Educación, Jardines y Academias</w:t>
            </w:r>
          </w:p>
        </w:tc>
        <w:tc>
          <w:tcPr>
            <w:tcW w:type="dxa" w:w="315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Datos e imágenes de menores de 14 años.</w:t>
            </w:r>
          </w:p>
        </w:tc>
        <w:tc>
          <w:tcPr>
            <w:tcW w:type="dxa" w:w="315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La ley exige que la autorización la firme obligatoriamente el padre, madre o tutor legal en la ficha de matrícula.</w:t>
            </w:r>
          </w:p>
        </w:tc>
      </w:tr>
      <w:tr>
        <w:trPr>
          <w:cantSplit/>
        </w:trPr>
        <w:tc>
          <w:tcPr>
            <w:tcW w:type="dxa" w:w="315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E293B"/>
                <w:sz w:val="17"/>
              </w:rPr>
              <w:t>Locales Comerciales Abiertos a Público</w:t>
            </w:r>
          </w:p>
        </w:tc>
        <w:tc>
          <w:tcPr>
            <w:tcW w:type="dxa" w:w="315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Cámaras de seguridad (CCTV) con grabación continua de clientes.</w:t>
            </w:r>
          </w:p>
        </w:tc>
        <w:tc>
          <w:tcPr>
            <w:tcW w:type="dxa" w:w="315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Mantén activa la fila RAT-06 en el Excel y coloca un letrero visible en el acceso: 'Zona videovigilada conforme a la Ley N° 21.719'.</w:t>
            </w:r>
          </w:p>
        </w:tc>
      </w:tr>
    </w:tbl>
    <w:p>
      <w:r>
        <w:br w:type="page"/>
      </w:r>
    </w:p>
    <w:p>
      <w:pPr>
        <w:spacing w:after="200" w:before="0"/>
        <w:jc w:val="left"/>
      </w:pPr>
      <w:r>
        <w:rPr>
          <w:rFonts w:ascii="Calibri" w:hAnsi="Calibri"/>
          <w:b/>
          <w:color w:val="0284C7"/>
          <w:sz w:val="17"/>
        </w:rPr>
        <w:t>CÁLCULO LABORAL CHILE  |  PLATAFORMA LEGALTECH</w:t>
        <w:br/>
      </w:r>
      <w:r>
        <w:rPr>
          <w:rFonts w:ascii="Calibri" w:hAnsi="Calibri"/>
          <w:color w:val="64748B"/>
          <w:sz w:val="17"/>
        </w:rPr>
        <w:t>Kit Ley N° 21.719 de Protección de Datos Personales  •  Documento 0  •  Preguntas Frecuentes y Checklist Preventivo</w:t>
      </w:r>
    </w:p>
    <w:p>
      <w:pPr>
        <w:keepNext/>
        <w:spacing w:before="200" w:after="60"/>
        <w:jc w:val="left"/>
      </w:pPr>
      <w:r>
        <w:rPr>
          <w:rFonts w:ascii="Calibri" w:hAnsi="Calibri"/>
          <w:b/>
          <w:color w:val="0284C7"/>
          <w:sz w:val="21"/>
        </w:rPr>
        <w:t>3. PREGUNTAS FRECUENTES (FAQ) DE DUEÑOS Y GERENTES DE PYMES</w:t>
      </w:r>
    </w:p>
    <w:p>
      <w:pPr>
        <w:spacing w:after="100" w:line="276" w:lineRule="auto"/>
        <w:jc w:val="left"/>
      </w:pPr>
      <w:r>
        <w:rPr>
          <w:rFonts w:ascii="Calibri" w:hAnsi="Calibri"/>
          <w:b/>
          <w:color w:val="0F172A"/>
          <w:sz w:val="19"/>
        </w:rPr>
        <w:t xml:space="preserve">¿Tengo que enviar estos documentos a alguna entidad del Estado? </w:t>
      </w:r>
      <w:r>
        <w:rPr>
          <w:rFonts w:ascii="Calibri" w:hAnsi="Calibri"/>
          <w:color w:val="1E293B"/>
          <w:sz w:val="19"/>
        </w:rPr>
        <w:t>No. Ninguna ley exige enviar copias al Estado. Se custodian internamente en la empresa y se exhiben únicamente cuando la Dirección del Trabajo o la Agencia APDP fiscalizan.</w:t>
      </w:r>
    </w:p>
    <w:p>
      <w:pPr>
        <w:spacing w:after="100" w:line="276" w:lineRule="auto"/>
        <w:jc w:val="left"/>
      </w:pPr>
      <w:r>
        <w:rPr>
          <w:rFonts w:ascii="Calibri" w:hAnsi="Calibri"/>
          <w:b/>
          <w:color w:val="0F172A"/>
          <w:sz w:val="19"/>
        </w:rPr>
        <w:t xml:space="preserve">¿Qué pasa si un trabajador se niega a poner la huella en el reloj control? </w:t>
      </w:r>
      <w:r>
        <w:rPr>
          <w:rFonts w:ascii="Calibri" w:hAnsi="Calibri"/>
          <w:color w:val="1E293B"/>
          <w:sz w:val="19"/>
        </w:rPr>
        <w:t>La Dirección del Trabajo (Res. Ex. N° 38/2024) prohíbe despedirlo o sancionarlo. Debes ofrecerle una alternativa no biométrica (tarjeta magnética, clave o libro). Al tener firmado nuestro Documento 1, tu empresa adopta el estándar preventivo exigido por la DT para prevenir sanciones.</w:t>
      </w:r>
    </w:p>
    <w:p>
      <w:pPr>
        <w:spacing w:after="100" w:line="276" w:lineRule="auto"/>
        <w:jc w:val="left"/>
      </w:pPr>
      <w:r>
        <w:rPr>
          <w:rFonts w:ascii="Calibri" w:hAnsi="Calibri"/>
          <w:b/>
          <w:color w:val="0F172A"/>
          <w:sz w:val="19"/>
        </w:rPr>
        <w:t xml:space="preserve">¿Qué hacer ante un hackeo o robo de computador con datos? </w:t>
      </w:r>
      <w:r>
        <w:rPr>
          <w:rFonts w:ascii="Calibri" w:hAnsi="Calibri"/>
          <w:color w:val="1E293B"/>
          <w:sz w:val="19"/>
        </w:rPr>
        <w:t>Abre inmediatamente el Documento 5 (Protocolo de Brechas). Sigue los 4 pasos: aislar el equipo, evaluar qué datos se vieron afectados y remitir el reporte a la Agencia sin dilaciones indebidas (meta 72 horas).</w:t>
      </w:r>
    </w:p>
    <w:p>
      <w:pPr>
        <w:spacing w:after="100" w:line="276" w:lineRule="auto"/>
        <w:jc w:val="left"/>
      </w:pPr>
      <w:r>
        <w:rPr>
          <w:rFonts w:ascii="Calibri" w:hAnsi="Calibri"/>
          <w:b/>
          <w:color w:val="0F172A"/>
          <w:sz w:val="19"/>
        </w:rPr>
        <w:t xml:space="preserve">¿Debo contratar a un Delegado de Protección de Datos (DPO)? </w:t>
      </w:r>
      <w:r>
        <w:rPr>
          <w:rFonts w:ascii="Calibri" w:hAnsi="Calibri"/>
          <w:color w:val="1E293B"/>
          <w:sz w:val="19"/>
        </w:rPr>
        <w:t>No. Las micro, pequeñas y medianas empresas están legalmente exentas. Para acreditarlo formalmente ante cualquier inspector, firma el Documento 7 (Test DPO) incluido en este kit.</w:t>
      </w:r>
    </w:p>
    <w:p>
      <w:pPr>
        <w:keepNext/>
        <w:spacing w:before="200" w:after="60"/>
        <w:jc w:val="left"/>
      </w:pPr>
      <w:r>
        <w:rPr>
          <w:rFonts w:ascii="Calibri" w:hAnsi="Calibri"/>
          <w:b/>
          <w:color w:val="0284C7"/>
          <w:sz w:val="21"/>
        </w:rPr>
        <w:t>4. CHECKLIST DE CUMPLIMIENTO NORMATIVO (LISTA DE COTEJO)</w:t>
      </w:r>
    </w:p>
    <w:p>
      <w:pPr>
        <w:pStyle w:val="ListBullet"/>
        <w:spacing w:after="60" w:line="276" w:lineRule="auto"/>
        <w:jc w:val="left"/>
      </w:pPr>
      <w:r>
        <w:rPr>
          <w:rFonts w:ascii="Calibri" w:hAnsi="Calibri"/>
          <w:b/>
          <w:color w:val="0F172A"/>
          <w:sz w:val="19"/>
        </w:rPr>
        <w:t xml:space="preserve">[  ] Documento 1 (Anexo Laboral): </w:t>
      </w:r>
      <w:r>
        <w:rPr>
          <w:rFonts w:ascii="Calibri" w:hAnsi="Calibri"/>
          <w:color w:val="1E293B"/>
          <w:sz w:val="19"/>
        </w:rPr>
        <w:t>Todos los trabajadores contratados tienen firmado el anexo de datos personales y huella archivado en su carpeta de personal.</w:t>
      </w:r>
    </w:p>
    <w:p>
      <w:pPr>
        <w:pStyle w:val="ListBullet"/>
        <w:spacing w:after="60" w:line="276" w:lineRule="auto"/>
        <w:jc w:val="left"/>
      </w:pPr>
      <w:r>
        <w:rPr>
          <w:rFonts w:ascii="Calibri" w:hAnsi="Calibri"/>
          <w:b/>
          <w:color w:val="0F172A"/>
          <w:sz w:val="19"/>
        </w:rPr>
        <w:t xml:space="preserve">[  ] Documento 2 (Política de Privacidad): </w:t>
      </w:r>
      <w:r>
        <w:rPr>
          <w:rFonts w:ascii="Calibri" w:hAnsi="Calibri"/>
          <w:color w:val="1E293B"/>
          <w:sz w:val="19"/>
        </w:rPr>
        <w:t>Texto visible en el pie de página de la web o anexado a correos de cotizaciones y disponible en recepción.</w:t>
      </w:r>
    </w:p>
    <w:p>
      <w:pPr>
        <w:pStyle w:val="ListBullet"/>
        <w:spacing w:after="60" w:line="276" w:lineRule="auto"/>
        <w:jc w:val="left"/>
      </w:pPr>
      <w:r>
        <w:rPr>
          <w:rFonts w:ascii="Calibri" w:hAnsi="Calibri"/>
          <w:b/>
          <w:color w:val="0F172A"/>
          <w:sz w:val="19"/>
        </w:rPr>
        <w:t xml:space="preserve">[  ] Documento 3 (Cláusula DPA): </w:t>
      </w:r>
      <w:r>
        <w:rPr>
          <w:rFonts w:ascii="Calibri" w:hAnsi="Calibri"/>
          <w:color w:val="1E293B"/>
          <w:sz w:val="19"/>
        </w:rPr>
        <w:t>Suscrito con el contador externo de la empresa y con los proveedores de software o hosting.</w:t>
      </w:r>
    </w:p>
    <w:p>
      <w:pPr>
        <w:pStyle w:val="ListBullet"/>
        <w:spacing w:after="60" w:line="276" w:lineRule="auto"/>
        <w:jc w:val="left"/>
      </w:pPr>
      <w:r>
        <w:rPr>
          <w:rFonts w:ascii="Calibri" w:hAnsi="Calibri"/>
          <w:b/>
          <w:color w:val="0F172A"/>
          <w:sz w:val="19"/>
        </w:rPr>
        <w:t xml:space="preserve">[  ] Documento 4 (Registro RAT): </w:t>
      </w:r>
      <w:r>
        <w:rPr>
          <w:rFonts w:ascii="Calibri" w:hAnsi="Calibri"/>
          <w:color w:val="1E293B"/>
          <w:sz w:val="19"/>
        </w:rPr>
        <w:t>Planilla completada con el Nombre y RUT en la Fila 3, archivada en formato Excel y PDF en el computador de administración.</w:t>
      </w:r>
    </w:p>
    <w:p>
      <w:pPr>
        <w:pStyle w:val="ListBullet"/>
        <w:spacing w:after="60" w:line="276" w:lineRule="auto"/>
        <w:jc w:val="left"/>
      </w:pPr>
      <w:r>
        <w:rPr>
          <w:rFonts w:ascii="Calibri" w:hAnsi="Calibri"/>
          <w:b/>
          <w:color w:val="0F172A"/>
          <w:sz w:val="19"/>
        </w:rPr>
        <w:t xml:space="preserve">[  ] Documento 5 (Protocolo de Brechas 72h): </w:t>
      </w:r>
      <w:r>
        <w:rPr>
          <w:rFonts w:ascii="Calibri" w:hAnsi="Calibri"/>
          <w:color w:val="1E293B"/>
          <w:sz w:val="19"/>
        </w:rPr>
        <w:t>Procedimiento conocido por administración ante cualquier sospecha de hackeo, pérdida de laptop o filtración.</w:t>
      </w:r>
    </w:p>
    <w:p>
      <w:pPr>
        <w:pStyle w:val="ListBullet"/>
        <w:spacing w:after="60" w:line="276" w:lineRule="auto"/>
        <w:jc w:val="left"/>
      </w:pPr>
      <w:r>
        <w:rPr>
          <w:rFonts w:ascii="Calibri" w:hAnsi="Calibri"/>
          <w:b/>
          <w:color w:val="0F172A"/>
          <w:sz w:val="19"/>
        </w:rPr>
        <w:t xml:space="preserve">[  ] Documento 6 (Formulario ARCOP): </w:t>
      </w:r>
      <w:r>
        <w:rPr>
          <w:rFonts w:ascii="Calibri" w:hAnsi="Calibri"/>
          <w:color w:val="1E293B"/>
          <w:sz w:val="19"/>
        </w:rPr>
        <w:t>Plantilla lista para responder reclamos de clientes o trabajadores en el plazo legal fatal de 30 días corridos.</w:t>
      </w:r>
    </w:p>
    <w:p>
      <w:pPr>
        <w:pStyle w:val="ListBullet"/>
        <w:spacing w:after="60" w:line="276" w:lineRule="auto"/>
        <w:jc w:val="left"/>
      </w:pPr>
      <w:r>
        <w:rPr>
          <w:rFonts w:ascii="Calibri" w:hAnsi="Calibri"/>
          <w:b/>
          <w:color w:val="0F172A"/>
          <w:sz w:val="19"/>
        </w:rPr>
        <w:t xml:space="preserve">[  ] Documento 7 (Test DPO): </w:t>
      </w:r>
      <w:r>
        <w:rPr>
          <w:rFonts w:ascii="Calibri" w:hAnsi="Calibri"/>
          <w:color w:val="1E293B"/>
          <w:sz w:val="19"/>
        </w:rPr>
        <w:t>Test de 4 preguntas firmado por el representante legal que acredita la exención formal de contratar un DPO.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