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a) del Código del Trabajo (Falta de probidad)</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Esta causal requiere un hecho grave y probado (apropiación, fraude, uso indebido de bienes o información, falsedad de documentos). Reúne la prueba antes de enviar la carta.</w:t>
            </w:r>
          </w:p>
          <w:p>
            <w:pPr>
              <w:spacing w:before="0" w:after="30"/>
            </w:pPr>
            <w:r>
              <w:rPr>
                <w:rFonts w:ascii="Calibri" w:hAnsi="Calibri"/>
                <w:color w:val="475569"/>
                <w:sz w:val="16"/>
              </w:rPr>
              <w:t>• Aunque la ley no exige citar a descargos, hacerlo (documento 18) fortalece tu posición.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a) del Código del Trabajo, esto es: 'Falta de probidad del trabajador en el desempeño de sus funciones'.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QUÉ HIZO EL TRABAJADOR, CUÁNDO, DÓNDE Y CÓMO. EJEMPLO: el día 12 de junio de 2026 se detectó que usted registró 14 ventas con descuento a favor de un tercero sin autorización, apropiándose de la diferencia, por un total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 conducta vulnera el deber de actuar con rectitud y honradez en el desempeño de las funciones, y afecta gravemente la confianza propia de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