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 | Artículo 161 inciso primero del Código del Trabajo (Necesidades de la empresa)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AVISO DE TÉRMINO DE CONTRATO DE TRABAJO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DESPIDO-01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con datos reales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o entregas la carta al menos 30 días antes del término, o pagas la indemnización sustitutiva (última remuneración mensual) y la entregas dentro de los 3 DÍAS HÁBILES siguientes a la separación. En ambos casos, con copia a la Inspección del Trabajo en el mismo plazo.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 Sin ellos el despido no produce efecto (Art. 162).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En un juicio solo podrás defender los hechos que escribas en la carta (Art. 454 N° 1). Evita frases vagas como "reorganización interna": indica cifras, áreas afectadas o razones técnicas comprobables.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invocar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tiene fuero (maternal, sindical u otro), esta causal no lo habilita: el juez solo puede autorizar el término en los casos de los artículos 159 N° 4 y 5 y 160 (Art. 174).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Art. 162 inciso octavo (Ley 21.361): la carta debe informar si el finiquito se otorgará y pagará en forma presencial o electrónica, y que el trabajador puede formular reserva de derechos al firmarlo. Ya viene en el apartado IV: elige una opción.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Comuna / Ciudad: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primero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el cual se hará efectivo a contar del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[DÍA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I. CAUSAL LEGAL INVOCADA: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La causal aplicada es la del Artículo 161 inciso primero del Código del Trabajo, esto es, las necesidades de funcionamiento de la empresa, establecimiento o servicio, tales como las derivadas de la racionalización o modernización de los mismos, bajas en la productividad, cambios en las condiciones del mercado o de la economía, que hagan necesaria la separación de uno o más trabajadores.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II. HECHOS EN QUE SE FUNDA: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Los hechos concretos que justifican esta decisión son los siguientes: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CON PRECISIÓN LOS HECHOS OBJETIVOS. EJEMPLO: reestructuración del departamento de operaciones / supresión definitiva del puesto de trabajo / baja sostenida en la demanda del área, respaldada en balance o informes financieros]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El cargo que usted desempeñaba ya no resulta necesario para el funcionamiento de la empresa porque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[TAREAS QUE SE REORGANIZAN, ELIMINAN O EXTERNALIZAN]</w:t>
      </w:r>
      <w:r>
        <w:rPr>
          <w:rFonts w:ascii="Calibri" w:hAnsi="Calibri"/>
          <w:b w:val="0"/>
          <w:color w:val="0F172A"/>
          <w:sz w:val="20"/>
        </w:rPr>
        <w:t xml:space="preserve">. La decisión obedece a motivos objetivos de la empresa y no a factores relacionados con la persona del trabajador.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III. ESTADO DE PAGO DE COTIZACIONES PREVISIONALES: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IV. FINIQUITO: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Dentro del plazo de 10 días hábiles contado desde la separación, la empresa pondrá a su disposición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el finiquito, que incluirá: a) las remuneraciones adeudadas hasta el último día trabajado; b) la indemnización sustitutiva del aviso previo, si no se otorgó con 30 días de anticipación; c) la indemnización por años de servicio, conforme al Art. 163; d) la compensación del feriado legal y proporcional pendiente (Art. 73); y e) las demás prestaciones devengadas a la fecha.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Su finiquito se otorgará y pagará en forma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[PRESENCIAL ante un ministro de fe / ELECTRÓNICA en el sitio de la Dirección del Trabajo]</w:t>
      </w:r>
      <w:r>
        <w:rPr>
          <w:rFonts w:ascii="Calibri" w:hAnsi="Calibri"/>
          <w:b w:val="0"/>
          <w:color w:val="0F172A"/>
          <w:sz w:val="20"/>
        </w:rPr>
        <w:t xml:space="preserve"> (borra lo que no aplique). Es voluntario para usted aceptar, firmar y recibir el pago en forma electrónica, y siempre podrá optar por la actuación presencial ante un ministro de fe. Al suscribir el finiquito, si lo estima necesario, podrá formular reserva de derechos.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