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jc w:val="center"/>
      </w:pPr>
      <w:r>
        <w:rPr>
          <w:rFonts w:ascii="Calibri" w:hAnsi="Calibri"/>
          <w:b/>
          <w:color w:val="0F172A"/>
          <w:sz w:val="26"/>
        </w:rPr>
        <w:t>POLÍTICA GENERAL DE PRIVACIDAD Y PROTECCIÓN DE DATOS PERSONALES</w:t>
      </w:r>
    </w:p>
    <w:p>
      <w:pPr>
        <w:keepNext/>
        <w:spacing w:after="240"/>
        <w:jc w:val="center"/>
      </w:pPr>
      <w:r>
        <w:rPr>
          <w:rFonts w:ascii="Calibri" w:hAnsi="Calibri"/>
          <w:i/>
          <w:color w:val="475569"/>
          <w:sz w:val="18"/>
        </w:rPr>
        <w:t>Conforme a la Ley N° 21.719 sobre Protección y Tratamiento de Datos Personales de la República de Chile</w:t>
        <w:br/>
        <w:t>Documento para publicación en sitio web y entrega a clientes comerciales</w:t>
      </w:r>
    </w:p>
    <w:p>
      <w:pPr>
        <w:keepNext/>
        <w:spacing w:before="200" w:after="60"/>
        <w:jc w:val="left"/>
      </w:pPr>
      <w:r>
        <w:rPr>
          <w:rFonts w:ascii="Calibri" w:hAnsi="Calibri"/>
          <w:b/>
          <w:color w:val="00382E"/>
          <w:sz w:val="21"/>
        </w:rPr>
        <w:t>1. IDENTIFICACIÓN DEL RESPONSABLE DEL TRATAMIENTO</w:t>
      </w:r>
    </w:p>
    <w:p>
      <w:pPr>
        <w:spacing w:after="100" w:line="276" w:lineRule="auto"/>
        <w:jc w:val="left"/>
      </w:pPr>
      <w:r>
        <w:rPr>
          <w:rFonts w:ascii="Calibri" w:hAnsi="Calibri"/>
          <w:color w:val="1E293B"/>
          <w:sz w:val="19"/>
        </w:rPr>
        <w:t xml:space="preserve">El responsable del tratamiento de los datos personales recopilados a través del sitio web </w:t>
      </w:r>
      <w:r>
        <w:rPr>
          <w:rFonts w:ascii="Calibri" w:hAnsi="Calibri"/>
          <w:color w:val="1E293B"/>
          <w:sz w:val="19"/>
          <w:highlight w:val="yellow"/>
        </w:rPr>
        <w:t xml:space="preserve">[SITIO WEB DE LA EMPRESA]</w:t>
      </w:r>
      <w:r>
        <w:rPr>
          <w:rFonts w:ascii="Calibri" w:hAnsi="Calibri"/>
          <w:color w:val="1E293B"/>
          <w:sz w:val="19"/>
        </w:rPr>
        <w:t xml:space="preserve">, canales de venta presencial, WhatsApp corporativo y formularios digitales es </w:t>
      </w:r>
      <w:r>
        <w:rPr>
          <w:rFonts w:ascii="Calibri" w:hAnsi="Calibri"/>
          <w:color w:val="1E293B"/>
          <w:sz w:val="19"/>
          <w:highlight w:val="yellow"/>
        </w:rPr>
        <w:t xml:space="preserve">[NOMBRE DE LA EMPRESA / RAZÓN SOCIAL]</w:t>
      </w:r>
      <w:r>
        <w:rPr>
          <w:rFonts w:ascii="Calibri" w:hAnsi="Calibri"/>
          <w:color w:val="1E293B"/>
          <w:sz w:val="19"/>
        </w:rPr>
        <w:t xml:space="preserve">, Rol Único Tributario N° </w:t>
      </w:r>
      <w:r>
        <w:rPr>
          <w:rFonts w:ascii="Calibri" w:hAnsi="Calibri"/>
          <w:color w:val="1E293B"/>
          <w:sz w:val="19"/>
          <w:highlight w:val="yellow"/>
        </w:rPr>
        <w:t xml:space="preserve">[RUT EMPRESA]</w:t>
      </w:r>
      <w:r>
        <w:rPr>
          <w:rFonts w:ascii="Calibri" w:hAnsi="Calibri"/>
          <w:color w:val="1E293B"/>
          <w:sz w:val="19"/>
        </w:rPr>
        <w:t xml:space="preserve">, domiciliada en </w:t>
      </w:r>
      <w:r>
        <w:rPr>
          <w:rFonts w:ascii="Calibri" w:hAnsi="Calibri"/>
          <w:color w:val="1E293B"/>
          <w:sz w:val="19"/>
          <w:highlight w:val="yellow"/>
        </w:rPr>
        <w:t xml:space="preserve">[DIRECCIÓN COMERCIAL, COMUNA, CIUDAD]</w:t>
      </w:r>
      <w:r>
        <w:rPr>
          <w:rFonts w:ascii="Calibri" w:hAnsi="Calibri"/>
          <w:color w:val="1E293B"/>
          <w:sz w:val="19"/>
        </w:rPr>
        <w:t xml:space="preserve">, correo electrónico de contacto: </w:t>
      </w:r>
      <w:r>
        <w:rPr>
          <w:rFonts w:ascii="Calibri" w:hAnsi="Calibri"/>
          <w:color w:val="1E293B"/>
          <w:sz w:val="19"/>
          <w:highlight w:val="yellow"/>
        </w:rPr>
        <w:t xml:space="preserve">[CORREO DE PRIVACIDAD DE LA EMPRESA]</w:t>
      </w:r>
      <w:r>
        <w:rPr>
          <w:rFonts w:ascii="Calibri" w:hAnsi="Calibri"/>
          <w:color w:val="1E293B"/>
          <w:sz w:val="19"/>
        </w:rPr>
        <w:t xml:space="preserve"> (en adelante, la 'Empresa').</w:t>
      </w:r>
    </w:p>
    <w:p>
      <w:pPr>
        <w:keepNext/>
        <w:spacing w:before="200" w:after="60"/>
        <w:jc w:val="left"/>
      </w:pPr>
      <w:r>
        <w:rPr>
          <w:rFonts w:ascii="Calibri" w:hAnsi="Calibri"/>
          <w:b/>
          <w:color w:val="00382E"/>
          <w:sz w:val="21"/>
        </w:rPr>
        <w:t xml:space="preserve">2. PRINCIPIOS DE TRATAMIENTO APLICADOS (LEY N° 19.628, MODIFICADA POR LA LEY N° 21.719)</w:t>
      </w:r>
    </w:p>
    <w:p>
      <w:pPr>
        <w:spacing w:after="100" w:line="276" w:lineRule="auto"/>
        <w:jc w:val="left"/>
      </w:pPr>
      <w:r>
        <w:rPr>
          <w:rFonts w:ascii="Calibri" w:hAnsi="Calibri"/>
          <w:color w:val="1E293B"/>
          <w:sz w:val="19"/>
        </w:rPr>
        <w:t>La Empresa trata los datos de conformidad con los principios rectores de la legislación chilena:</w:t>
      </w:r>
    </w:p>
    <w:p>
      <w:pPr>
        <w:pStyle w:val="ListBullet"/>
        <w:spacing w:after="60" w:line="276" w:lineRule="auto"/>
        <w:jc w:val="left"/>
      </w:pPr>
      <w:r>
        <w:rPr>
          <w:rFonts w:ascii="Calibri" w:hAnsi="Calibri"/>
          <w:b/>
          <w:color w:val="0F172A"/>
          <w:sz w:val="19"/>
        </w:rPr>
        <w:t xml:space="preserve">Licitud y Lealtad: </w:t>
      </w:r>
      <w:r>
        <w:rPr>
          <w:rFonts w:ascii="Calibri" w:hAnsi="Calibri"/>
          <w:color w:val="1E293B"/>
          <w:sz w:val="19"/>
        </w:rPr>
        <w:t>Los datos se tratan solo mediando base legal expresa (consentimiento, contrato o cumplimiento de obligación legal).</w:t>
      </w:r>
    </w:p>
    <w:p>
      <w:pPr>
        <w:pStyle w:val="ListBullet"/>
        <w:spacing w:after="60" w:line="276" w:lineRule="auto"/>
        <w:jc w:val="left"/>
      </w:pPr>
      <w:r>
        <w:rPr>
          <w:rFonts w:ascii="Calibri" w:hAnsi="Calibri"/>
          <w:b/>
          <w:color w:val="0F172A"/>
          <w:sz w:val="19"/>
        </w:rPr>
        <w:t xml:space="preserve">Finalidad Específica: </w:t>
      </w:r>
      <w:r>
        <w:rPr>
          <w:rFonts w:ascii="Calibri" w:hAnsi="Calibri"/>
          <w:color w:val="1E293B"/>
          <w:sz w:val="19"/>
        </w:rPr>
        <w:t>Los datos se recopilan únicamente para fines explícitos y determinados.</w:t>
      </w:r>
    </w:p>
    <w:p>
      <w:pPr>
        <w:pStyle w:val="ListBullet"/>
        <w:spacing w:after="60" w:line="276" w:lineRule="auto"/>
        <w:jc w:val="left"/>
      </w:pPr>
      <w:r>
        <w:rPr>
          <w:rFonts w:ascii="Calibri" w:hAnsi="Calibri"/>
          <w:b/>
          <w:color w:val="0F172A"/>
          <w:sz w:val="19"/>
        </w:rPr>
        <w:t xml:space="preserve">Proporcionalidad y Minimización: </w:t>
      </w:r>
      <w:r>
        <w:rPr>
          <w:rFonts w:ascii="Calibri" w:hAnsi="Calibri"/>
          <w:color w:val="1E293B"/>
          <w:sz w:val="19"/>
        </w:rPr>
        <w:t>Solo se solicita la información estrictamente necesaria para cumplir con el servicio contratado.</w:t>
      </w:r>
    </w:p>
    <w:p>
      <w:pPr>
        <w:pStyle w:val="ListBullet"/>
        <w:spacing w:after="60" w:line="276" w:lineRule="auto"/>
        <w:jc w:val="left"/>
      </w:pPr>
      <w:r>
        <w:rPr>
          <w:rFonts w:ascii="Calibri" w:hAnsi="Calibri"/>
          <w:b/>
          <w:color w:val="0F172A"/>
          <w:sz w:val="19"/>
        </w:rPr>
        <w:t xml:space="preserve">Calidad y Exactitud: </w:t>
      </w:r>
      <w:r>
        <w:rPr>
          <w:rFonts w:ascii="Calibri" w:hAnsi="Calibri"/>
          <w:color w:val="1E293B"/>
          <w:sz w:val="19"/>
        </w:rPr>
        <w:t>Se adoptan medidas razonables para mantener los datos veraces y actualizados.</w:t>
      </w:r>
    </w:p>
    <w:p>
      <w:pPr>
        <w:pStyle w:val="ListBullet"/>
        <w:spacing w:after="60" w:line="276" w:lineRule="auto"/>
        <w:jc w:val="left"/>
      </w:pPr>
      <w:r>
        <w:rPr>
          <w:rFonts w:ascii="Calibri" w:hAnsi="Calibri"/>
          <w:b/>
          <w:color w:val="0F172A"/>
          <w:sz w:val="19"/>
        </w:rPr>
        <w:t xml:space="preserve">Seguridad y Confidencialidad: </w:t>
      </w:r>
      <w:r>
        <w:rPr>
          <w:rFonts w:ascii="Calibri" w:hAnsi="Calibri"/>
          <w:color w:val="1E293B"/>
          <w:sz w:val="19"/>
        </w:rPr>
        <w:t>Aplicación de controles técnicos y organizativos para evitar accesos no autorizados, hackeos, pérdidas o alteraciones.</w:t>
      </w:r>
    </w:p>
    <w:p>
      <w:pPr>
        <w:keepNext/>
        <w:spacing w:before="200" w:after="60"/>
        <w:jc w:val="left"/>
      </w:pPr>
      <w:r>
        <w:rPr>
          <w:rFonts w:ascii="Calibri" w:hAnsi="Calibri"/>
          <w:b/>
          <w:color w:val="00382E"/>
          <w:sz w:val="21"/>
        </w:rPr>
        <w:t>3. DATOS QUE RECOPILAMOS Y FINALIDADES</w:t>
      </w:r>
    </w:p>
    <w:p>
      <w:pPr>
        <w:spacing w:after="100" w:line="276" w:lineRule="auto"/>
        <w:jc w:val="left"/>
      </w:pPr>
      <w:r>
        <w:rPr>
          <w:rFonts w:ascii="Calibri" w:hAnsi="Calibri"/>
          <w:color w:val="1E293B"/>
          <w:sz w:val="19"/>
        </w:rPr>
        <w:t>La Empresa podrá recopilar los siguientes antecedentes personales:</w:t>
      </w:r>
    </w:p>
    <w:p>
      <w:pPr>
        <w:pStyle w:val="ListBullet"/>
        <w:spacing w:after="60" w:line="276" w:lineRule="auto"/>
        <w:jc w:val="left"/>
      </w:pPr>
      <w:r>
        <w:rPr>
          <w:rFonts w:ascii="Calibri" w:hAnsi="Calibri"/>
          <w:b/>
          <w:color w:val="0F172A"/>
          <w:sz w:val="19"/>
        </w:rPr>
        <w:t xml:space="preserve">Datos Identificatorios y de Facturación: </w:t>
      </w:r>
      <w:r>
        <w:rPr>
          <w:rFonts w:ascii="Calibri" w:hAnsi="Calibri"/>
          <w:color w:val="1E293B"/>
          <w:sz w:val="19"/>
        </w:rPr>
        <w:t>Nombre completo, RUT, correo electrónico, teléfono y dirección de despacho, con la finalidad de procesar compras, emitir facturas/boletas electrónicas según normas del SII y gestionar envíos logísticos.</w:t>
      </w:r>
    </w:p>
    <w:p>
      <w:pPr>
        <w:pStyle w:val="ListBullet"/>
        <w:spacing w:after="60" w:line="276" w:lineRule="auto"/>
        <w:jc w:val="left"/>
      </w:pPr>
      <w:r>
        <w:rPr>
          <w:rFonts w:ascii="Calibri" w:hAnsi="Calibri"/>
          <w:b/>
          <w:color w:val="0F172A"/>
          <w:sz w:val="19"/>
        </w:rPr>
        <w:t xml:space="preserve">Datos de Atención al Cliente: </w:t>
      </w:r>
      <w:r>
        <w:rPr>
          <w:rFonts w:ascii="Calibri" w:hAnsi="Calibri"/>
          <w:color w:val="1E293B"/>
          <w:sz w:val="19"/>
        </w:rPr>
        <w:t>Consultas formuladas por formularios de contacto o WhatsApp, con la finalidad de brindar soporte técnico y cotizaciones comerciales.</w:t>
      </w:r>
    </w:p>
    <w:p>
      <w:pPr>
        <w:pStyle w:val="ListBullet"/>
        <w:spacing w:after="60" w:line="276" w:lineRule="auto"/>
        <w:jc w:val="left"/>
      </w:pPr>
      <w:r>
        <w:rPr>
          <w:rFonts w:ascii="Calibri" w:hAnsi="Calibri"/>
          <w:b/>
          <w:color w:val="0F172A"/>
          <w:sz w:val="19"/>
        </w:rPr>
        <w:t xml:space="preserve">Datos de Navegación (Cookies): </w:t>
      </w:r>
      <w:r>
        <w:rPr>
          <w:rFonts w:ascii="Calibri" w:hAnsi="Calibri"/>
          <w:color w:val="1E293B"/>
          <w:sz w:val="19"/>
        </w:rPr>
        <w:t>Dirección IP, tipo de navegador y páginas visitadas para fines estadísticos y de rendimiento del sitio web.</w:t>
      </w:r>
    </w:p>
    <w:p>
      <w:pPr>
        <w:keepNext/>
        <w:spacing w:before="200" w:after="60"/>
        <w:jc w:val="left"/>
      </w:pPr>
      <w:r>
        <w:rPr>
          <w:rFonts w:ascii="Calibri" w:hAnsi="Calibri"/>
          <w:b/>
          <w:color w:val="00382E"/>
          <w:sz w:val="21"/>
        </w:rPr>
        <w:t>4. BASES DE LICITUD (LEGITIMACIÓN)</w:t>
      </w:r>
    </w:p>
    <w:p>
      <w:pPr>
        <w:spacing w:after="100" w:line="276" w:lineRule="auto"/>
        <w:jc w:val="left"/>
      </w:pPr>
      <w:r>
        <w:rPr>
          <w:rFonts w:ascii="Calibri" w:hAnsi="Calibri"/>
          <w:color w:val="1E293B"/>
          <w:sz w:val="19"/>
        </w:rPr>
        <w:t>El tratamiento de datos se fundamenta en las siguientes causales de licitud:</w:t>
      </w:r>
    </w:p>
    <w:p>
      <w:pPr>
        <w:pStyle w:val="ListBullet"/>
        <w:spacing w:after="60" w:line="276" w:lineRule="auto"/>
        <w:jc w:val="left"/>
      </w:pPr>
      <w:r>
        <w:rPr>
          <w:rFonts w:ascii="Calibri" w:hAnsi="Calibri"/>
          <w:color w:val="1E293B"/>
          <w:sz w:val="19"/>
        </w:rPr>
        <w:t xml:space="preserve">La ejecución de una relación contractual o medidas precontractuales solicitadas por el cliente (Ley N° 19.628, modificada por la Ley N° 21.719).</w:t>
      </w:r>
    </w:p>
    <w:p>
      <w:pPr>
        <w:pStyle w:val="ListBullet"/>
        <w:spacing w:after="60" w:line="276" w:lineRule="auto"/>
        <w:jc w:val="left"/>
      </w:pPr>
      <w:r>
        <w:rPr>
          <w:rFonts w:ascii="Calibri" w:hAnsi="Calibri"/>
          <w:color w:val="1E293B"/>
          <w:sz w:val="19"/>
        </w:rPr>
        <w:t>El cumplimiento de obligaciones tributarias, comerciales y de protección al consumidor (Ley 19.496 y Código Tributario).</w:t>
      </w:r>
    </w:p>
    <w:p>
      <w:pPr>
        <w:pStyle w:val="ListBullet"/>
        <w:spacing w:after="60" w:line="276" w:lineRule="auto"/>
        <w:jc w:val="left"/>
      </w:pPr>
      <w:r>
        <w:rPr>
          <w:rFonts w:ascii="Calibri" w:hAnsi="Calibri"/>
          <w:color w:val="1E293B"/>
          <w:sz w:val="19"/>
        </w:rPr>
        <w:t>El consentimiento libre, previo, expreso e informado del usuario para comunicaciones promocionales (revocable en cualquier momento).</w:t>
      </w:r>
    </w:p>
    <w:p>
      <w:pPr>
        <w:keepNext/>
        <w:spacing w:before="200" w:after="60"/>
        <w:jc w:val="left"/>
      </w:pPr>
      <w:r>
        <w:rPr>
          <w:rFonts w:ascii="Calibri" w:hAnsi="Calibri"/>
          <w:b/>
          <w:color w:val="00382E"/>
          <w:sz w:val="21"/>
        </w:rPr>
        <w:t>5. TRANSFERENCIA Y ENCARGADOS DE TRATAMIENTO</w:t>
      </w:r>
    </w:p>
    <w:p>
      <w:pPr>
        <w:spacing w:after="100" w:line="276" w:lineRule="auto"/>
        <w:jc w:val="left"/>
      </w:pPr>
      <w:r>
        <w:rPr>
          <w:rFonts w:ascii="Calibri" w:hAnsi="Calibri"/>
          <w:color w:val="1E293B"/>
          <w:sz w:val="19"/>
        </w:rPr>
        <w:t>La Empresa no comercializa, arrienda ni vende bases de datos personales a terceros bajo ninguna circunstancia. Los datos podrán comunicarse a proveedores tecnológicos de pasarelas de pago (Transbank, Flow, Mercado Pago), empresas de courier logístico y servicios de facturación, quienes operan en calidad de 'Encargados de Tratamiento' sujetos a estrictos contratos de confidencialidad.</w:t>
      </w:r>
    </w:p>
    <w:p>
      <w:pPr>
        <w:keepNext/>
        <w:spacing w:before="200" w:after="60"/>
        <w:jc w:val="left"/>
      </w:pPr>
      <w:r>
        <w:rPr>
          <w:rFonts w:ascii="Calibri" w:hAnsi="Calibri"/>
          <w:b/>
          <w:color w:val="00382E"/>
          <w:sz w:val="21"/>
        </w:rPr>
        <w:t>6. DERECHOS DE LOS TITULARES (DERECHOS ARCOP)</w:t>
      </w:r>
    </w:p>
    <w:p>
      <w:pPr>
        <w:spacing w:after="100" w:line="276" w:lineRule="auto"/>
        <w:jc w:val="left"/>
      </w:pPr>
      <w:r>
        <w:rPr>
          <w:rFonts w:ascii="Calibri" w:hAnsi="Calibri"/>
          <w:color w:val="1E293B"/>
          <w:sz w:val="19"/>
        </w:rPr>
        <w:t xml:space="preserve">Conforme a la Ley N° 19.628 (modificada por la Ley N° 21.719), todo titular de datos goza de los siguientes derechos inalienables:</w:t>
      </w:r>
    </w:p>
    <w:p>
      <w:pPr>
        <w:pStyle w:val="ListBullet"/>
        <w:spacing w:after="60" w:line="276" w:lineRule="auto"/>
        <w:jc w:val="left"/>
      </w:pPr>
      <w:r>
        <w:rPr>
          <w:rFonts w:ascii="Calibri" w:hAnsi="Calibri"/>
          <w:b/>
          <w:color w:val="0F172A"/>
          <w:sz w:val="19"/>
        </w:rPr>
        <w:t xml:space="preserve">Acceso: </w:t>
      </w:r>
      <w:r>
        <w:rPr>
          <w:rFonts w:ascii="Calibri" w:hAnsi="Calibri"/>
          <w:color w:val="1E293B"/>
          <w:sz w:val="19"/>
        </w:rPr>
        <w:t>Solicitar confirmación de qué datos suyos se tratan y obtener copia de ellos.</w:t>
      </w:r>
    </w:p>
    <w:p>
      <w:pPr>
        <w:pStyle w:val="ListBullet"/>
        <w:spacing w:after="60" w:line="276" w:lineRule="auto"/>
        <w:jc w:val="left"/>
      </w:pPr>
      <w:r>
        <w:rPr>
          <w:rFonts w:ascii="Calibri" w:hAnsi="Calibri"/>
          <w:b/>
          <w:color w:val="0F172A"/>
          <w:sz w:val="19"/>
        </w:rPr>
        <w:t xml:space="preserve">Rectificación: </w:t>
      </w:r>
      <w:r>
        <w:rPr>
          <w:rFonts w:ascii="Calibri" w:hAnsi="Calibri"/>
          <w:color w:val="1E293B"/>
          <w:sz w:val="19"/>
        </w:rPr>
        <w:t>Modificar datos inexactos, incompletos o desactualizados.</w:t>
      </w:r>
    </w:p>
    <w:p>
      <w:pPr>
        <w:pStyle w:val="ListBullet"/>
        <w:spacing w:after="60" w:line="276" w:lineRule="auto"/>
        <w:jc w:val="left"/>
      </w:pPr>
      <w:r>
        <w:rPr>
          <w:rFonts w:ascii="Calibri" w:hAnsi="Calibri"/>
          <w:b/>
          <w:color w:val="0F172A"/>
          <w:sz w:val="19"/>
        </w:rPr>
        <w:t xml:space="preserve">Supresión (Cancelación): </w:t>
      </w:r>
      <w:r>
        <w:rPr>
          <w:rFonts w:ascii="Calibri" w:hAnsi="Calibri"/>
          <w:color w:val="1E293B"/>
          <w:sz w:val="19"/>
        </w:rPr>
        <w:t>Exigir la eliminación de sus datos cuando ya no sean necesarios para la finalidad originaria.</w:t>
      </w:r>
    </w:p>
    <w:p>
      <w:pPr>
        <w:pStyle w:val="ListBullet"/>
        <w:spacing w:after="60" w:line="276" w:lineRule="auto"/>
        <w:jc w:val="left"/>
      </w:pPr>
      <w:r>
        <w:rPr>
          <w:rFonts w:ascii="Calibri" w:hAnsi="Calibri"/>
          <w:b/>
          <w:color w:val="0F172A"/>
          <w:sz w:val="19"/>
        </w:rPr>
        <w:t xml:space="preserve">Oposición: </w:t>
      </w:r>
      <w:r>
        <w:rPr>
          <w:rFonts w:ascii="Calibri" w:hAnsi="Calibri"/>
          <w:color w:val="1E293B"/>
          <w:sz w:val="19"/>
        </w:rPr>
        <w:t>Negarse al uso de sus datos para fines comerciales o publicidad directa.</w:t>
      </w:r>
    </w:p>
    <w:p>
      <w:pPr>
        <w:pStyle w:val="ListBullet"/>
        <w:spacing w:after="60" w:line="276" w:lineRule="auto"/>
        <w:jc w:val="left"/>
      </w:pPr>
      <w:r>
        <w:rPr>
          <w:rFonts w:ascii="Calibri" w:hAnsi="Calibri"/>
          <w:b/>
          <w:color w:val="0F172A"/>
          <w:sz w:val="19"/>
        </w:rPr>
        <w:t xml:space="preserve">Portabilidad: </w:t>
      </w:r>
      <w:r>
        <w:rPr>
          <w:rFonts w:ascii="Calibri" w:hAnsi="Calibri"/>
          <w:color w:val="1E293B"/>
          <w:sz w:val="19"/>
        </w:rPr>
        <w:t>Recibir sus datos en un formato digital estructurado, común y de lectura mecánica.</w:t>
      </w:r>
    </w:p>
    <w:p>
      <w:pPr>
        <w:pStyle w:val="ListBullet"/>
        <w:spacing w:after="60" w:line="276" w:lineRule="auto"/>
        <w:jc w:val="left"/>
      </w:pPr>
      <w:r>
        <w:rPr>
          <w:rFonts w:ascii="Calibri" w:hAnsi="Calibri"/>
          <w:b/>
          <w:color w:val="0F172A"/>
          <w:sz w:val="19"/>
        </w:rPr>
        <w:t xml:space="preserve">Bloqueo: </w:t>
      </w:r>
      <w:r>
        <w:rPr>
          <w:rFonts w:ascii="Calibri" w:hAnsi="Calibri"/>
          <w:color w:val="1E293B"/>
          <w:sz w:val="19"/>
        </w:rPr>
        <w:t>Suspender provisionalmente el tratamiento mientras se resuelve una impugnación de exactitud.</w:t>
      </w:r>
    </w:p>
    <w:p>
      <w:pPr>
        <w:spacing w:after="100" w:line="276" w:lineRule="auto"/>
        <w:jc w:val="left"/>
      </w:pPr>
      <w:r>
        <w:rPr>
          <w:rFonts w:ascii="Calibri" w:hAnsi="Calibri"/>
          <w:color w:val="1E293B"/>
          <w:sz w:val="19"/>
        </w:rPr>
        <w:t xml:space="preserve">Para ejercer estos derechos, el titular debe enviar su solicitud formal al correo </w:t>
      </w:r>
      <w:r>
        <w:rPr>
          <w:rFonts w:ascii="Calibri" w:hAnsi="Calibri"/>
          <w:color w:val="1E293B"/>
          <w:sz w:val="19"/>
          <w:highlight w:val="yellow"/>
        </w:rPr>
        <w:t xml:space="preserve">[CORREO DE PRIVACIDAD DE LA EMPRESA]</w:t>
      </w:r>
      <w:r>
        <w:rPr>
          <w:rFonts w:ascii="Calibri" w:hAnsi="Calibri"/>
          <w:color w:val="1E293B"/>
          <w:sz w:val="19"/>
        </w:rPr>
        <w:t xml:space="preserve"> acreditando su identidad. La Empresa acusará recibo y responderá fundadamente dentro del plazo legal de treinta (30) días corridos contado desde su recepción, prorrogable por una sola vez hasta por otros treinta (Artículo 11 Ley N° 19.628).</w:t>
      </w:r>
    </w:p>
    <w:p>
      <w:pPr>
        <w:keepNext/>
        <w:spacing w:before="200" w:after="60"/>
        <w:jc w:val="left"/>
      </w:pPr>
      <w:r>
        <w:rPr>
          <w:rFonts w:ascii="Calibri" w:hAnsi="Calibri"/>
          <w:b/>
          <w:color w:val="00382E"/>
          <w:sz w:val="21"/>
        </w:rPr>
        <w:t>7. PLAZOS DE RETENCIÓN DE INFORMACIÓN</w:t>
      </w:r>
    </w:p>
    <w:p>
      <w:pPr>
        <w:spacing w:after="100" w:line="276" w:lineRule="auto"/>
        <w:jc w:val="left"/>
      </w:pPr>
      <w:r>
        <w:rPr>
          <w:rFonts w:ascii="Calibri" w:hAnsi="Calibri"/>
          <w:color w:val="1E293B"/>
          <w:sz w:val="19"/>
        </w:rPr>
        <w:t>Los datos de clientes se conservarán mientras dure la relación comercial y durante el plazo de 6 años establecido por el Código Tributario para fiscalizaciones contables, tras lo cual serán eliminados o anonimizados.</w:t>
      </w:r>
    </w:p>
    <w:p>
      <w:pPr>
        <w:keepNext/>
        <w:spacing w:before="200" w:after="60"/>
        <w:jc w:val="left"/>
      </w:pPr>
      <w:r>
        <w:rPr>
          <w:rFonts w:ascii="Calibri" w:hAnsi="Calibri"/>
          <w:b/>
          <w:color w:val="00382E"/>
          <w:sz w:val="21"/>
        </w:rPr>
        <w:t>8. AGENCIA DE PROTECCIÓN DE DATOS PERSONALES</w:t>
      </w:r>
    </w:p>
    <w:p>
      <w:pPr>
        <w:spacing w:after="100" w:line="276" w:lineRule="auto"/>
        <w:jc w:val="left"/>
      </w:pPr>
      <w:r>
        <w:rPr>
          <w:rFonts w:ascii="Calibri" w:hAnsi="Calibri"/>
          <w:color w:val="1E293B"/>
          <w:sz w:val="19"/>
        </w:rPr>
        <w:t>En caso de que el titular considere que sus derechos no han sido satisfechos oportunamente, tiene el derecho de recurrir ante la Agencia de Protección de Datos Personales de Chile de conformidad a los procedimientos sancionatorios de la ley.</w:t>
      </w:r>
    </w:p>
    <w:p>
      <w:pPr>
        <w:spacing w:before="120" w:after="0"/>
      </w:pPr>
      <w:r>
        <w:rPr>
          <w:rFonts w:ascii="Calibri" w:hAnsi="Calibri" w:cs="Calibri"/>
          <w:color w:val="64748B"/>
          <w:sz w:val="14"/>
        </w:rPr>
        <w:t xml:space="preserve">Versión 2026.10 (octubre de 2026). Modelo de referencia basado en la normativa vigente a esa fecha; no constituye asesoría legal. Si tu caso tiene particularidades, revísalo con un abogado antes de firmar. La Ley 21.719 rige desde el 1 de diciembre de 2026.</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