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 xml:space="preserve">(Ley N° 19.628, modificada por la Ley N° 21.719: tratamiento de datos por cuenta del responsable)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presente Anexo de Tratamiento de Datos Personales (Data Processing Agreement) se suscribe entre </w:t>
      </w:r>
      <w:r>
        <w:rPr>
          <w:rFonts w:ascii="Calibri" w:hAnsi="Calibri"/>
          <w:color w:val="1E293B"/>
          <w:sz w:val="19"/>
          <w:highlight w:val="yellow"/>
        </w:rPr>
        <w:t xml:space="preserve">[NOMBRE DE TU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TU EMPRESA]</w:t>
      </w:r>
      <w:r>
        <w:rPr>
          <w:rFonts w:ascii="Calibri" w:hAnsi="Calibri"/>
          <w:color w:val="1E293B"/>
          <w:sz w:val="19"/>
        </w:rPr>
        <w:t xml:space="preserve">), en adelante el 'Responsable', y </w:t>
      </w:r>
      <w:r>
        <w:rPr>
          <w:rFonts w:ascii="Calibri" w:hAnsi="Calibri"/>
          <w:color w:val="1E293B"/>
          <w:sz w:val="19"/>
          <w:highlight w:val="yellow"/>
        </w:rPr>
        <w:t xml:space="preserve">[NOMBRE DEL PROVEEDOR / CONTADOR / SOFTWARE]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PROVEEDOR]</w:t>
      </w:r>
      <w:r>
        <w:rPr>
          <w:rFonts w:ascii="Calibri" w:hAnsi="Calibri"/>
          <w:color w:val="1E293B"/>
          <w:sz w:val="19"/>
        </w:rPr>
        <w:t xml:space="preserve">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 xml:space="preserve">2. OBLIGACIONES DEL ENCARGADO.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Asistir al Responsable en la tramitación y respuesta oportuna de los derechos ARCOP de los titulares dentro del plazo legal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En caso de que el Encargado sufra un incidente de seguridad, vulneración, filtración, hackeo o pérdida que comprometa los datos personales del Responsable, se obliga a notificar al Responsable a más tardar dentro de las 24 horas siguientes a haber tomado conocimiento del hecho, entregando la descripción del incidente, datos afectados y medidas correctivas inmediatas, a fin de que el Responsable pueda cumplir con la obligación de notificar a la Agencia de Protección de Datos Personales sin dilaciones indebidas (conforme al Art. 14 sexies de la Ley N° 19.628 reformada), adoptando el estándar operativo y mejor práctica internacional recomendada de un plazo máximo de 72 horas.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 TU EMPRESA]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TU EMPRESA]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RESPONSABLE DEL TRATAMIENTO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DEL PROVEEDOR]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PROVEEDOR]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ENCARGADO DEL TRATAMIENTO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