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BASE LEY KARIN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PROTOCOLO DE PREVENCIÓN, INVESTIGACIÓN Y SANCIÓN DEL ACOSO LABORAL, SEXUAL Y VIOLENCIA EN EL TRABAJO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KARIN-01-PROTOCOLO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Obligatoriedad: Exigible por ley a toda empresa en Chile desde el 1 de agosto de 2024 (Ley 21.643 y DS 44 Mintrab).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Sanción por omisión: Multas gravísimas de 14 a 60 UTM aplicadas directamente por la Inspección del Trabajo.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Vigencia: Todo el año 2026 y subsiguientes. Debe actualizarse semestralmente o tras cada denuncia investigada.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Entrega: Debe entregarse una copia íntegra a cada trabajador al momento de su contratación o actualización.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Identificación de la Empresa y Ámbito de Aplicación. </w:t>
      </w:r>
      <w:r>
        <w:rPr>
          <w:color w:val="1E293B"/>
        </w:rPr>
        <w:t>El presente Protocolo rige para la empresa [RAZÓN SOCIAL DE LA EMPRESA], RUT [RUT EMPRESA], en adelante 'la Empresa', con domicilio en [DIRECCIÓN COMPLETA, COMUNA, REGIÓN], y aplica de forma irrestricta a la totalidad de sus directivos, gerentes, jefaturas, trabajadores dependientes, personal en régimen de subcontratación y prestadores de servicios que interactúen en sus faenas.</w:t>
      </w:r>
    </w:p>
    <w:p>
      <w:pPr>
        <w:spacing w:after="80"/>
      </w:pPr>
      <w:r>
        <w:rPr>
          <w:b/>
          <w:color w:val="0F172A"/>
        </w:rPr>
        <w:t xml:space="preserve">SEGUNDO: Marco Normativo. </w:t>
      </w:r>
      <w:r>
        <w:rPr>
          <w:color w:val="1E293B"/>
        </w:rPr>
        <w:t>El presente instrumento se dicta en estricto cumplimiento de la Ley N° 21.643 (conocida como Ley Karin), el Decreto Supremo N° 44 del Ministerio del Trabajo y Previsión Social, los artículos 2, 153, 154 y 211-A y siguientes del Código del Trabajo, y las directrices de la Circular N° 3.813 de la Superintendencia de Seguridad Social (SUSESO).</w:t>
      </w:r>
    </w:p>
    <w:p>
      <w:pPr>
        <w:spacing w:after="80"/>
      </w:pPr>
      <w:r>
        <w:rPr>
          <w:b/>
          <w:color w:val="0F172A"/>
        </w:rPr>
        <w:t xml:space="preserve">TERCERO: Definiciones Legales. </w:t>
      </w:r>
      <w:r>
        <w:rPr>
          <w:color w:val="1E293B"/>
        </w:rPr>
        <w:t>Para todos los efectos del presente protocolo, se adoptan las definiciones legales establecidas en el artículo 2° del Código del Trabajo:</w:t>
        <w:br/>
        <w:t>a) Acoso Sexual: El que una persona realice en forma indebida, por cualquier medio, requerimientos de carácter sexual, no consentidos por quien los recibe y que amenacen o perjudiquen su situación laboral o sus oportunidades en el empleo.</w:t>
        <w:br/>
        <w:t>b) Acoso Laboral: Toda conducta que constituya agresión u hostigamiento ejercida por el empleador o por uno o más trabajadores, en contra de otro u otros trabajadores, por cualquier medio, ya sea que se manifieste una sola vez o de manera reiterada, y que tenga como resultado para o los afectados su menoscabo, maltrato o humillación, o bien que amenace o perjudique su situación laboral o sus oportunidades en el empleo.</w:t>
        <w:br/>
        <w:t>c) Violencia en el Trabajo ejercida por terceros: Aquellas conductas ejercidas por personas ajenas a la relación laboral (clientes, proveedores, usuarios, contratistas) que afecten a los trabajadores con ocasión de la prestación de sus servicios.</w:t>
      </w:r>
    </w:p>
    <w:p>
      <w:pPr>
        <w:spacing w:after="80"/>
      </w:pPr>
      <w:r>
        <w:rPr>
          <w:b/>
          <w:color w:val="0F172A"/>
        </w:rPr>
        <w:t xml:space="preserve">CUARTO: Principios Rectores del Procedimiento. </w:t>
      </w:r>
      <w:r>
        <w:rPr>
          <w:color w:val="1E293B"/>
        </w:rPr>
        <w:t>Todo procedimiento de consulta o investigación se regirá por los principios de confidencialidad estricta, imparcialidad, celeridad, perspectiva de género, debido proceso, prohibición de represalias contra denunciantes o testigos y debida diligencia preventiva.</w:t>
      </w:r>
    </w:p>
    <w:p>
      <w:pPr>
        <w:spacing w:after="80"/>
      </w:pPr>
      <w:r>
        <w:rPr>
          <w:b/>
          <w:color w:val="0F172A"/>
        </w:rPr>
        <w:t xml:space="preserve">QUINTO: Canal de Denuncias y Medidas de Resguardo Inmediatas. </w:t>
      </w:r>
      <w:r>
        <w:rPr>
          <w:color w:val="1E293B"/>
        </w:rPr>
        <w:t>La denuncia podrá interponerse por escrito o verbalmente ante la persona encargada designada: [NOMBRE / CARGO DEL RECEPTOR DE DENUNCIAS, EJ: ENCARGADO DE RRHH / GERENCIA], o a través de la casilla de correo electrónico confidencial [CORREO_DENUNCIAS@EMPRESA.CL].</w:t>
        <w:br/>
        <w:t>Recibida la denuncia, el empleador deberá adoptar en un plazo MÁXIMO DE 3 DÍAS HÁBILES las medidas de resguardo inmediatas y proporcionales, tales como: la separación de los espacios físicos de trabajo, la redistribución de turnos de la persona denunciada o la facilitación transitoria de trabajo telemático.</w:t>
      </w:r>
    </w:p>
    <w:p>
      <w:pPr>
        <w:spacing w:after="80"/>
      </w:pPr>
      <w:r>
        <w:rPr>
          <w:b/>
          <w:color w:val="0F172A"/>
        </w:rPr>
        <w:t xml:space="preserve">SEXTO: Procedimiento de Investigación y Plazos. </w:t>
      </w:r>
      <w:r>
        <w:rPr>
          <w:color w:val="1E293B"/>
        </w:rPr>
        <w:t>La Empresa podrá llevar adelante la investigación interna en un plazo que no excederá de 30 días corridos, o bien derivar la denuncia íntegra a la respectiva Inspección del Trabajo dentro de los 3 días hábiles siguientes a su recepción. Concluida la investigación interna, se emitirá un Informe Conclusivo que será remitido a la Dirección del Trabajo para su pronunciamiento conforme al artículo 211-C del Código del Trabajo.</w:t>
      </w:r>
    </w:p>
    <w:p>
      <w:pPr>
        <w:spacing w:after="80"/>
      </w:pPr>
      <w:r>
        <w:rPr>
          <w:b/>
          <w:color w:val="0F172A"/>
        </w:rPr>
        <w:t xml:space="preserve">SÉPTIMO: Sanciones Aplicables. </w:t>
      </w:r>
      <w:r>
        <w:rPr>
          <w:color w:val="1E293B"/>
        </w:rPr>
        <w:t>Acreditada la existencia de conductas de acoso sexual, acoso laboral o violencia grave, se aplicarán las sanciones internas previstas en el Reglamento Interno, que podrán consistir en: amonestación verbal, amonestación escrita, multa de hasta el 25% de la remuneración diaria, o el término inmediato del contrato de trabajo sin derecho a indemnización, de conformidad a las causales del artículo 160 N° 1 del Código del Trabajo.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LA EMPRESA / REPRESENTANTE LEGAL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ENCARGADO(A) DEL CANAL DE PREVENCIÓN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