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MÓDULO LEY 40 HORAS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ANEXO DE CONTRATO DE TRABAJO: REDUCCIÓN DE JORNADA A 42 HORAS (DISTRIBUCIÓN HOMOGÉNEA LUNES A VIERNES)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40H-03-HOMOGENEA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Modalidad: Distribución igualitaria de lunes a viernes a razón de 8 horas y 24 minutos diarias (8,4 hrs diarias efectivas).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Utilidad: Empresas productivas o de servicios que no desean alterar el horario diferencial de los viernes.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Marcaje: Requiere parametrizar el reloj control o software de asistencia para computar 8h 24m diarias.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PRIMERO: Adecuación Legal de Jornada. </w:t>
      </w:r>
      <w:r>
        <w:rPr>
          <w:color w:val="1E293B"/>
        </w:rPr>
        <w:t>Las partes vienen en modificar la cláusula de jornada del contrato de trabajo vigente, fijando la nueva jornada ordinaria en 42 horas semanales, de acuerdo a lo prescrito en la Ley N° 21.561.</w:t>
      </w:r>
    </w:p>
    <w:p>
      <w:pPr>
        <w:spacing w:after="80"/>
      </w:pPr>
      <w:r>
        <w:rPr>
          <w:b/>
          <w:color w:val="0F172A"/>
        </w:rPr>
        <w:t xml:space="preserve">SEGUNDO: Distribución Horaria Diaria Homogénea. </w:t>
      </w:r>
      <w:r>
        <w:rPr>
          <w:color w:val="1E293B"/>
        </w:rPr>
        <w:t>La jornada de 42 horas se distribuirá en cinco (5) días, de lunes a viernes, a razón de 8 horas y 24 minutos diarios, en el siguiente horario:</w:t>
        <w:br/>
        <w:t>• Lunes a Viernes: Entrada a las 08:30 horas y Salida a las 17:54 horas.</w:t>
        <w:br/>
        <w:t>• Colación: 60 minutos diarios entre las 13:30 y 14:30 horas (no imputable a la jornada laboral).</w:t>
        <w:br/>
        <w:t>Total semanal efectivo: 42 horas cronológicas.</w:t>
      </w:r>
    </w:p>
    <w:p>
      <w:pPr>
        <w:spacing w:after="80"/>
      </w:pPr>
      <w:r>
        <w:rPr>
          <w:b/>
          <w:color w:val="0F172A"/>
        </w:rPr>
        <w:t xml:space="preserve">TERCERO: Garantía Salarial y Registro. </w:t>
      </w:r>
      <w:r>
        <w:rPr>
          <w:color w:val="1E293B"/>
        </w:rPr>
        <w:t>Se deja constancia expresa de que el valor mensual de la remuneración líquida y bruta pactada permanece inalterable.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EMPLEADOR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TRABAJADOR / TRABAJADORA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