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COMERCIO Y GASTRONOMÍA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CLÁUSULA ANEXA DE GESTIÓN Y ENTREGA ÍNTEGRA DE PROPINAS (ARTÍCULO 64 CÓDIGO DEL TRABAJO)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SEC-A-01-PROPINAS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Obligación Legal Art. 64: El empleador tiene prohibición de retener, descontar comisiones bancarias de Transbank o demorar la entrega de propinas.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Plazo de Entrega: Las propinas pagadas con tarjeta deben transferirse al trabajador o repartirse dentro de los plazos legales fijados (máximo semanal o quincenal).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Multa DT: La apropiación o retención de propinas es sancionada con multas gravísimas de hasta 60 UTM.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Principio de Propiedad de las Propinas. </w:t>
      </w:r>
      <w:r>
        <w:rPr>
          <w:color w:val="1E293B"/>
        </w:rPr>
        <w:t>De conformidad al artículo 64 del Código del Trabajo, las partes dejan establecido que las propinas voluntarias otorgadas por los clientes, ya sea en dinero en efectivo o mediante medios de pago electrónicos (tarjetas de débito o crédito), pertenecen íntegra y exclusivamente a los trabajadores que desempeñan funciones de atención al público, no teniendo el Empleador dominio ni derecho a descuento alguno sobre las mismas.</w:t>
      </w:r>
    </w:p>
    <w:p>
      <w:pPr>
        <w:spacing w:after="80"/>
      </w:pPr>
      <w:r>
        <w:rPr>
          <w:b/>
          <w:color w:val="0F172A"/>
        </w:rPr>
        <w:t xml:space="preserve">SEGUNDO: Prohibición de Descuento de Comisiones. </w:t>
      </w:r>
      <w:r>
        <w:rPr>
          <w:color w:val="1E293B"/>
        </w:rPr>
        <w:t>El Empleador asume el costo de operación comercial de las terminales de pago (POS), quedando terminantemente prohibido descontar a los trabajadores el porcentaje correspondiente a comisiones bancarias, operadoras de tarjeta o IVA aplicable a la transacción de propinas.</w:t>
      </w:r>
    </w:p>
    <w:p>
      <w:pPr>
        <w:spacing w:after="80"/>
      </w:pPr>
      <w:r>
        <w:rPr>
          <w:b/>
          <w:color w:val="0F172A"/>
        </w:rPr>
        <w:t xml:space="preserve">TERCERO: Mecanismo y Frecuencia de Liquidación. </w:t>
      </w:r>
      <w:r>
        <w:rPr>
          <w:color w:val="1E293B"/>
        </w:rPr>
        <w:t>Las propinas recaudadas a través de medios electrónicos serán totalizadas y distribuidas de manera transparente entre el personal que conforma el turno [DE FORMA SEMANAL / QUINCENAL CADA DÍA VIERNES], emitiéndose una planilla de liquidación de propinas para respaldo y firma del personal.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