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RAMA COMERCIO Y GASTRONOMÍA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PROTOCOLO ESPECÍFICO DE PROTECCIÓN FRENTE A AGRESIONES Y VIOLENCIA DE CLIENTES (LEY KARIN)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SEC-A-02-VIOLENCIA-CLIENTES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Modificación Clave Ley Karin: La Ley 21.643 incorporó expresamente la 'Violencia en el trabajo ejercida por terceros' (clientes, comensales).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Deber de Protección Art. 184: El empleador debe adoptar medidas activas para que el personal de atención y cajeros no sufra agresiones.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Derecho a Retiro: El trabajador tiene derecho a interrumpir la atención ante situaciones de violencia inminente.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PRIMERO: Derecho a la Indemnidad Física y Verbal del Personal. </w:t>
      </w:r>
      <w:r>
        <w:rPr>
          <w:color w:val="1E293B"/>
        </w:rPr>
        <w:t>La Empresa reconoce que los trabajadores que interactúan en labores de atención a clientes, garzones, cajeros y dependientes de mostrador tienen derecho inalienable a prestar servicios en un entorno seguro y libre de agresiones, insultos, discriminación o amenazas por parte del público.</w:t>
      </w:r>
    </w:p>
    <w:p>
      <w:pPr>
        <w:spacing w:after="80"/>
      </w:pPr>
      <w:r>
        <w:rPr>
          <w:b/>
          <w:color w:val="0F172A"/>
        </w:rPr>
        <w:t xml:space="preserve">SEGUNDO: Procedimiento Inmediato de Desescalamiento. </w:t>
      </w:r>
      <w:r>
        <w:rPr>
          <w:color w:val="1E293B"/>
        </w:rPr>
        <w:t>Ante una situación en que un cliente o tercero manifieste conductas violentas, agresivas u hostiles, se aplicarán los siguientes pasos:</w:t>
        <w:br/>
        <w:t>1. El trabajador mantendrá la calma e informará con cortesía que la agresión no será tolerada, interrumpiendo de inmediato la atención directa.</w:t>
        <w:br/>
        <w:t>2. Se dará aviso instantáneo al Administrador, Jefe de Local o personal de seguridad mediante la señal acordada.</w:t>
        <w:br/>
        <w:t>3. La jefatura asumirá la gestión directa con el cliente o solicitará el auxilio de la fuerza pública (Carabineros) si persiste la violencia.</w:t>
      </w:r>
    </w:p>
    <w:p>
      <w:pPr>
        <w:spacing w:after="80"/>
      </w:pPr>
      <w:r>
        <w:rPr>
          <w:b/>
          <w:color w:val="0F172A"/>
        </w:rPr>
        <w:t xml:space="preserve">TERCERO: Soporte Psicológico y Legal a la Víctima. </w:t>
      </w:r>
      <w:r>
        <w:rPr>
          <w:color w:val="1E293B"/>
        </w:rPr>
        <w:t>En caso de que el dependiente sufra una agresión verbal grave o física, la Empresa le otorgará atención inmediata, facilitará la derivación al organismo administrador del seguro (Mutual de Seguridad / ACHS) para su contención psicológica y presentará las acciones legales pertinentes.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EMPLEADOR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TRABAJADOR / TRABAJADORA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